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F2B" w:rsidRPr="00536F2B" w:rsidRDefault="00536F2B" w:rsidP="00536F2B">
      <w:pPr>
        <w:autoSpaceDE w:val="0"/>
        <w:autoSpaceDN w:val="0"/>
        <w:adjustRightInd w:val="0"/>
        <w:spacing w:after="0" w:line="240" w:lineRule="auto"/>
        <w:rPr>
          <w:rFonts w:ascii="Calibri" w:hAnsi="Calibri" w:cs="Calibri"/>
          <w:color w:val="000000"/>
          <w:sz w:val="32"/>
          <w:szCs w:val="32"/>
        </w:rPr>
      </w:pPr>
      <w:r w:rsidRPr="00536F2B">
        <w:rPr>
          <w:rFonts w:ascii="Calibri" w:hAnsi="Calibri" w:cs="Calibri"/>
          <w:color w:val="000000"/>
          <w:sz w:val="24"/>
          <w:szCs w:val="24"/>
        </w:rPr>
        <w:t xml:space="preserve"> </w:t>
      </w:r>
      <w:r w:rsidRPr="00536F2B">
        <w:rPr>
          <w:rFonts w:ascii="Calibri" w:hAnsi="Calibri" w:cs="Calibri"/>
          <w:b/>
          <w:bCs/>
          <w:color w:val="000000"/>
          <w:sz w:val="32"/>
          <w:szCs w:val="32"/>
        </w:rPr>
        <w:t xml:space="preserve">Examiner Tip Sheet </w:t>
      </w:r>
      <w:r w:rsidRPr="00536F2B">
        <w:rPr>
          <w:rFonts w:ascii="Calibri" w:hAnsi="Calibri" w:cs="Calibri"/>
          <w:color w:val="000000"/>
          <w:sz w:val="32"/>
          <w:szCs w:val="32"/>
        </w:rPr>
        <w:t xml:space="preserve">| Independent Review </w:t>
      </w:r>
    </w:p>
    <w:p w:rsidR="00536F2B" w:rsidRDefault="00536F2B" w:rsidP="00536F2B">
      <w:pPr>
        <w:autoSpaceDE w:val="0"/>
        <w:autoSpaceDN w:val="0"/>
        <w:adjustRightInd w:val="0"/>
        <w:spacing w:after="0" w:line="240" w:lineRule="auto"/>
        <w:rPr>
          <w:rFonts w:ascii="Calibri" w:hAnsi="Calibri" w:cs="Calibri"/>
          <w:b/>
          <w:bCs/>
          <w:color w:val="000000"/>
        </w:rPr>
      </w:pPr>
    </w:p>
    <w:p w:rsidR="00536F2B" w:rsidRPr="00536F2B" w:rsidRDefault="00536F2B" w:rsidP="00536F2B">
      <w:pPr>
        <w:autoSpaceDE w:val="0"/>
        <w:autoSpaceDN w:val="0"/>
        <w:adjustRightInd w:val="0"/>
        <w:spacing w:after="0" w:line="240" w:lineRule="auto"/>
        <w:rPr>
          <w:rFonts w:ascii="Calibri" w:hAnsi="Calibri" w:cs="Calibri"/>
          <w:color w:val="000000"/>
        </w:rPr>
      </w:pPr>
      <w:r w:rsidRPr="00536F2B">
        <w:rPr>
          <w:rFonts w:ascii="Calibri" w:hAnsi="Calibri" w:cs="Calibri"/>
          <w:b/>
          <w:bCs/>
          <w:color w:val="000000"/>
        </w:rPr>
        <w:t xml:space="preserve">Welcome to Independent Review! </w:t>
      </w:r>
    </w:p>
    <w:p w:rsidR="00536F2B" w:rsidRDefault="00536F2B" w:rsidP="00536F2B">
      <w:pPr>
        <w:autoSpaceDE w:val="0"/>
        <w:autoSpaceDN w:val="0"/>
        <w:adjustRightInd w:val="0"/>
        <w:spacing w:after="0" w:line="240" w:lineRule="auto"/>
        <w:rPr>
          <w:rFonts w:ascii="Calibri" w:hAnsi="Calibri" w:cs="Calibri"/>
          <w:color w:val="000000"/>
          <w:sz w:val="23"/>
          <w:szCs w:val="23"/>
        </w:rPr>
      </w:pPr>
    </w:p>
    <w:p w:rsidR="00536F2B" w:rsidRPr="00536F2B" w:rsidRDefault="00536F2B" w:rsidP="00536F2B">
      <w:pPr>
        <w:autoSpaceDE w:val="0"/>
        <w:autoSpaceDN w:val="0"/>
        <w:adjustRightInd w:val="0"/>
        <w:spacing w:after="0" w:line="240" w:lineRule="auto"/>
        <w:rPr>
          <w:rFonts w:ascii="Calibri" w:hAnsi="Calibri" w:cs="Calibri"/>
          <w:color w:val="000000"/>
          <w:sz w:val="23"/>
          <w:szCs w:val="23"/>
        </w:rPr>
      </w:pPr>
      <w:r w:rsidRPr="00536F2B">
        <w:rPr>
          <w:rFonts w:ascii="Calibri" w:hAnsi="Calibri" w:cs="Calibri"/>
          <w:color w:val="000000"/>
          <w:sz w:val="23"/>
          <w:szCs w:val="23"/>
        </w:rPr>
        <w:t xml:space="preserve">The purpose of Independent Review is for each team member to independently evaluate the applicant’s processes and results by identifying areas of strength and opportunities for improvement (OFIs) relative to the Baldrige Excellence Framework. The following pages contain helpful tips and step-by-step instructions for completing your Independent Review. </w:t>
      </w:r>
    </w:p>
    <w:p w:rsidR="00536F2B" w:rsidRDefault="00536F2B" w:rsidP="00536F2B">
      <w:pPr>
        <w:autoSpaceDE w:val="0"/>
        <w:autoSpaceDN w:val="0"/>
        <w:adjustRightInd w:val="0"/>
        <w:spacing w:after="0" w:line="240" w:lineRule="auto"/>
        <w:rPr>
          <w:rFonts w:ascii="Calibri" w:hAnsi="Calibri" w:cs="Calibri"/>
          <w:color w:val="000000"/>
          <w:sz w:val="23"/>
          <w:szCs w:val="23"/>
        </w:rPr>
      </w:pPr>
    </w:p>
    <w:p w:rsidR="00536F2B" w:rsidRPr="00536F2B" w:rsidRDefault="00536F2B" w:rsidP="00536F2B">
      <w:pPr>
        <w:autoSpaceDE w:val="0"/>
        <w:autoSpaceDN w:val="0"/>
        <w:adjustRightInd w:val="0"/>
        <w:spacing w:after="0" w:line="240" w:lineRule="auto"/>
        <w:rPr>
          <w:rFonts w:ascii="Calibri" w:hAnsi="Calibri" w:cs="Calibri"/>
          <w:color w:val="000000"/>
          <w:sz w:val="23"/>
          <w:szCs w:val="23"/>
        </w:rPr>
      </w:pPr>
      <w:r w:rsidRPr="00536F2B">
        <w:rPr>
          <w:rFonts w:ascii="Calibri" w:hAnsi="Calibri" w:cs="Calibri"/>
          <w:color w:val="000000"/>
          <w:sz w:val="23"/>
          <w:szCs w:val="23"/>
        </w:rPr>
        <w:t xml:space="preserve">Many examiners have found this stage of the evaluation process to be both challenging and valuable. As you immerse yourself in gathering evidence and suggesting insights to help your applicant organization improve, your own personal learning on how to apply the Baldrige framework will add tremendous value to your organization and enhance your personal effectiveness in your own role. </w:t>
      </w:r>
    </w:p>
    <w:p w:rsidR="00536F2B" w:rsidRDefault="00536F2B" w:rsidP="00536F2B">
      <w:pPr>
        <w:autoSpaceDE w:val="0"/>
        <w:autoSpaceDN w:val="0"/>
        <w:adjustRightInd w:val="0"/>
        <w:spacing w:after="0" w:line="240" w:lineRule="auto"/>
        <w:rPr>
          <w:rFonts w:ascii="Calibri" w:hAnsi="Calibri" w:cs="Calibri"/>
          <w:b/>
          <w:bCs/>
          <w:i/>
          <w:iCs/>
          <w:color w:val="000000"/>
          <w:sz w:val="26"/>
          <w:szCs w:val="26"/>
        </w:rPr>
      </w:pPr>
    </w:p>
    <w:p w:rsidR="00536F2B" w:rsidRPr="00536F2B" w:rsidRDefault="00536F2B" w:rsidP="00536F2B">
      <w:pPr>
        <w:autoSpaceDE w:val="0"/>
        <w:autoSpaceDN w:val="0"/>
        <w:adjustRightInd w:val="0"/>
        <w:spacing w:after="0" w:line="240" w:lineRule="auto"/>
        <w:rPr>
          <w:rFonts w:ascii="Calibri" w:hAnsi="Calibri" w:cs="Calibri"/>
          <w:color w:val="000000"/>
          <w:sz w:val="26"/>
          <w:szCs w:val="26"/>
        </w:rPr>
      </w:pPr>
      <w:r w:rsidRPr="00536F2B">
        <w:rPr>
          <w:rFonts w:ascii="Calibri" w:hAnsi="Calibri" w:cs="Calibri"/>
          <w:b/>
          <w:bCs/>
          <w:i/>
          <w:iCs/>
          <w:color w:val="000000"/>
          <w:sz w:val="26"/>
          <w:szCs w:val="26"/>
        </w:rPr>
        <w:t xml:space="preserve">A few things to remember before you begin… </w:t>
      </w:r>
    </w:p>
    <w:p w:rsidR="00536F2B" w:rsidRDefault="00536F2B" w:rsidP="00536F2B">
      <w:pPr>
        <w:autoSpaceDE w:val="0"/>
        <w:autoSpaceDN w:val="0"/>
        <w:adjustRightInd w:val="0"/>
        <w:spacing w:after="0" w:line="240" w:lineRule="auto"/>
        <w:rPr>
          <w:rFonts w:ascii="Calibri" w:hAnsi="Calibri" w:cs="Calibri"/>
          <w:color w:val="000000"/>
          <w:sz w:val="23"/>
          <w:szCs w:val="23"/>
        </w:rPr>
      </w:pPr>
    </w:p>
    <w:p w:rsidR="00536F2B" w:rsidRPr="00536F2B" w:rsidRDefault="00536F2B" w:rsidP="00536F2B">
      <w:pPr>
        <w:pStyle w:val="ListParagraph"/>
        <w:numPr>
          <w:ilvl w:val="0"/>
          <w:numId w:val="12"/>
        </w:numPr>
        <w:autoSpaceDE w:val="0"/>
        <w:autoSpaceDN w:val="0"/>
        <w:adjustRightInd w:val="0"/>
        <w:spacing w:after="240" w:line="240" w:lineRule="auto"/>
        <w:contextualSpacing w:val="0"/>
        <w:rPr>
          <w:rFonts w:ascii="Calibri" w:hAnsi="Calibri" w:cs="Calibri"/>
          <w:color w:val="000000"/>
          <w:sz w:val="23"/>
          <w:szCs w:val="23"/>
        </w:rPr>
      </w:pPr>
      <w:r w:rsidRPr="00536F2B">
        <w:rPr>
          <w:rFonts w:ascii="Calibri" w:hAnsi="Calibri" w:cs="Calibri"/>
          <w:color w:val="000000"/>
          <w:sz w:val="23"/>
          <w:szCs w:val="23"/>
        </w:rPr>
        <w:t xml:space="preserve">Start early! Set a schedule that works for you and stick to it. </w:t>
      </w:r>
      <w:r w:rsidRPr="00536F2B">
        <w:rPr>
          <w:rFonts w:ascii="Calibri" w:hAnsi="Calibri" w:cs="Calibri"/>
          <w:b/>
          <w:bCs/>
          <w:color w:val="000000"/>
          <w:sz w:val="23"/>
          <w:szCs w:val="23"/>
        </w:rPr>
        <w:t xml:space="preserve">Finish your Independent Review at least two weeks prior to the consensus meeting </w:t>
      </w:r>
      <w:r w:rsidRPr="00536F2B">
        <w:rPr>
          <w:rFonts w:ascii="Calibri" w:hAnsi="Calibri" w:cs="Calibri"/>
          <w:color w:val="000000"/>
          <w:sz w:val="23"/>
          <w:szCs w:val="23"/>
        </w:rPr>
        <w:t xml:space="preserve">to allow time for category leaders to synthesize. </w:t>
      </w:r>
    </w:p>
    <w:p w:rsidR="00536F2B" w:rsidRPr="00536F2B" w:rsidRDefault="00536F2B" w:rsidP="00536F2B">
      <w:pPr>
        <w:pStyle w:val="ListParagraph"/>
        <w:numPr>
          <w:ilvl w:val="0"/>
          <w:numId w:val="12"/>
        </w:numPr>
        <w:autoSpaceDE w:val="0"/>
        <w:autoSpaceDN w:val="0"/>
        <w:adjustRightInd w:val="0"/>
        <w:spacing w:after="240" w:line="240" w:lineRule="auto"/>
        <w:contextualSpacing w:val="0"/>
        <w:rPr>
          <w:rFonts w:ascii="Calibri" w:hAnsi="Calibri" w:cs="Calibri"/>
          <w:color w:val="000000"/>
          <w:sz w:val="23"/>
          <w:szCs w:val="23"/>
        </w:rPr>
      </w:pPr>
      <w:r w:rsidRPr="00536F2B">
        <w:rPr>
          <w:rFonts w:ascii="Calibri" w:hAnsi="Calibri" w:cs="Calibri"/>
          <w:color w:val="000000"/>
          <w:sz w:val="23"/>
          <w:szCs w:val="23"/>
        </w:rPr>
        <w:t xml:space="preserve">Your goal is to help the applicant take the next step. Focus on what is important to them. </w:t>
      </w:r>
    </w:p>
    <w:p w:rsidR="00536F2B" w:rsidRPr="00536F2B" w:rsidRDefault="00536F2B" w:rsidP="00536F2B">
      <w:pPr>
        <w:pStyle w:val="ListParagraph"/>
        <w:numPr>
          <w:ilvl w:val="0"/>
          <w:numId w:val="12"/>
        </w:numPr>
        <w:autoSpaceDE w:val="0"/>
        <w:autoSpaceDN w:val="0"/>
        <w:adjustRightInd w:val="0"/>
        <w:spacing w:after="240" w:line="240" w:lineRule="auto"/>
        <w:contextualSpacing w:val="0"/>
        <w:rPr>
          <w:rFonts w:ascii="Calibri" w:hAnsi="Calibri" w:cs="Calibri"/>
          <w:color w:val="000000"/>
          <w:sz w:val="23"/>
          <w:szCs w:val="23"/>
        </w:rPr>
      </w:pPr>
      <w:r w:rsidRPr="00536F2B">
        <w:rPr>
          <w:rFonts w:ascii="Calibri" w:hAnsi="Calibri" w:cs="Calibri"/>
          <w:color w:val="000000"/>
          <w:sz w:val="23"/>
          <w:szCs w:val="23"/>
        </w:rPr>
        <w:t xml:space="preserve">Your teammates are going to rely on your Independent Review work. Make sure it is as clear and concise as possible (make note of page numbers, figure numbers, etc. for quick reference). </w:t>
      </w:r>
    </w:p>
    <w:p w:rsidR="00536F2B" w:rsidRPr="00536F2B" w:rsidRDefault="00536F2B" w:rsidP="00536F2B">
      <w:pPr>
        <w:pStyle w:val="ListParagraph"/>
        <w:numPr>
          <w:ilvl w:val="0"/>
          <w:numId w:val="12"/>
        </w:numPr>
        <w:autoSpaceDE w:val="0"/>
        <w:autoSpaceDN w:val="0"/>
        <w:adjustRightInd w:val="0"/>
        <w:spacing w:after="240" w:line="240" w:lineRule="auto"/>
        <w:contextualSpacing w:val="0"/>
        <w:rPr>
          <w:rFonts w:ascii="Calibri" w:hAnsi="Calibri" w:cs="Calibri"/>
          <w:color w:val="000000"/>
          <w:sz w:val="23"/>
          <w:szCs w:val="23"/>
        </w:rPr>
      </w:pPr>
      <w:r w:rsidRPr="00536F2B">
        <w:rPr>
          <w:rFonts w:ascii="Calibri" w:hAnsi="Calibri" w:cs="Calibri"/>
          <w:color w:val="000000"/>
          <w:sz w:val="23"/>
          <w:szCs w:val="23"/>
        </w:rPr>
        <w:t xml:space="preserve">Information is not always in the designated area; you may need to pull from other sections of the application. </w:t>
      </w:r>
    </w:p>
    <w:p w:rsidR="00536F2B" w:rsidRPr="00536F2B" w:rsidRDefault="00536F2B" w:rsidP="00536F2B">
      <w:pPr>
        <w:pStyle w:val="ListParagraph"/>
        <w:numPr>
          <w:ilvl w:val="0"/>
          <w:numId w:val="12"/>
        </w:numPr>
        <w:autoSpaceDE w:val="0"/>
        <w:autoSpaceDN w:val="0"/>
        <w:adjustRightInd w:val="0"/>
        <w:spacing w:after="240" w:line="240" w:lineRule="auto"/>
        <w:contextualSpacing w:val="0"/>
        <w:rPr>
          <w:rFonts w:ascii="Calibri" w:hAnsi="Calibri" w:cs="Calibri"/>
          <w:color w:val="000000"/>
          <w:sz w:val="23"/>
          <w:szCs w:val="23"/>
        </w:rPr>
      </w:pPr>
      <w:r w:rsidRPr="00536F2B">
        <w:rPr>
          <w:rFonts w:ascii="Calibri" w:hAnsi="Calibri" w:cs="Calibri"/>
          <w:color w:val="000000"/>
          <w:sz w:val="23"/>
          <w:szCs w:val="23"/>
        </w:rPr>
        <w:t xml:space="preserve">Remember: We are evaluating the applicant only against the Baldrige Excellence Framework. </w:t>
      </w:r>
    </w:p>
    <w:p w:rsidR="00536F2B" w:rsidRPr="00536F2B" w:rsidRDefault="00536F2B" w:rsidP="00536F2B">
      <w:pPr>
        <w:pStyle w:val="ListParagraph"/>
        <w:numPr>
          <w:ilvl w:val="0"/>
          <w:numId w:val="12"/>
        </w:numPr>
        <w:autoSpaceDE w:val="0"/>
        <w:autoSpaceDN w:val="0"/>
        <w:adjustRightInd w:val="0"/>
        <w:spacing w:after="240" w:line="240" w:lineRule="auto"/>
        <w:contextualSpacing w:val="0"/>
        <w:rPr>
          <w:rFonts w:ascii="Calibri" w:hAnsi="Calibri" w:cs="Calibri"/>
          <w:color w:val="000000"/>
          <w:sz w:val="23"/>
          <w:szCs w:val="23"/>
        </w:rPr>
      </w:pPr>
      <w:r w:rsidRPr="00536F2B">
        <w:rPr>
          <w:rFonts w:ascii="Calibri" w:hAnsi="Calibri" w:cs="Calibri"/>
          <w:color w:val="000000"/>
          <w:sz w:val="23"/>
          <w:szCs w:val="23"/>
        </w:rPr>
        <w:t xml:space="preserve">Be sure to refer to the resources that are available on the Examiner Resources page of </w:t>
      </w:r>
      <w:proofErr w:type="spellStart"/>
      <w:r w:rsidRPr="00536F2B">
        <w:rPr>
          <w:rFonts w:ascii="Calibri" w:hAnsi="Calibri" w:cs="Calibri"/>
          <w:color w:val="000000"/>
          <w:sz w:val="23"/>
          <w:szCs w:val="23"/>
        </w:rPr>
        <w:t>KyCPE’s</w:t>
      </w:r>
      <w:proofErr w:type="spellEnd"/>
      <w:r w:rsidRPr="00536F2B">
        <w:rPr>
          <w:rFonts w:ascii="Calibri" w:hAnsi="Calibri" w:cs="Calibri"/>
          <w:color w:val="000000"/>
          <w:sz w:val="23"/>
          <w:szCs w:val="23"/>
        </w:rPr>
        <w:t xml:space="preserve"> website.</w:t>
      </w:r>
    </w:p>
    <w:p w:rsidR="00536F2B" w:rsidRPr="00536F2B" w:rsidRDefault="00536F2B" w:rsidP="00536F2B">
      <w:pPr>
        <w:pStyle w:val="ListParagraph"/>
        <w:numPr>
          <w:ilvl w:val="0"/>
          <w:numId w:val="12"/>
        </w:numPr>
        <w:autoSpaceDE w:val="0"/>
        <w:autoSpaceDN w:val="0"/>
        <w:adjustRightInd w:val="0"/>
        <w:spacing w:after="240" w:line="240" w:lineRule="auto"/>
        <w:contextualSpacing w:val="0"/>
        <w:rPr>
          <w:rFonts w:ascii="Calibri" w:hAnsi="Calibri" w:cs="Calibri"/>
          <w:color w:val="000000"/>
          <w:sz w:val="23"/>
          <w:szCs w:val="23"/>
        </w:rPr>
      </w:pPr>
      <w:r w:rsidRPr="00536F2B">
        <w:rPr>
          <w:rFonts w:ascii="Calibri" w:hAnsi="Calibri" w:cs="Calibri"/>
          <w:color w:val="000000"/>
          <w:sz w:val="23"/>
          <w:szCs w:val="23"/>
        </w:rPr>
        <w:t xml:space="preserve">If you have trouble downloading documents from Examiner Resources, try updating your web browser (e.g. Internet Explorer, Mozilla </w:t>
      </w:r>
      <w:proofErr w:type="spellStart"/>
      <w:r w:rsidRPr="00536F2B">
        <w:rPr>
          <w:rFonts w:ascii="Calibri" w:hAnsi="Calibri" w:cs="Calibri"/>
          <w:color w:val="000000"/>
          <w:sz w:val="23"/>
          <w:szCs w:val="23"/>
        </w:rPr>
        <w:t>FireFox</w:t>
      </w:r>
      <w:proofErr w:type="spellEnd"/>
      <w:r w:rsidRPr="00536F2B">
        <w:rPr>
          <w:rFonts w:ascii="Calibri" w:hAnsi="Calibri" w:cs="Calibri"/>
          <w:color w:val="000000"/>
          <w:sz w:val="23"/>
          <w:szCs w:val="23"/>
        </w:rPr>
        <w:t xml:space="preserve">, etc.) or contact </w:t>
      </w:r>
      <w:proofErr w:type="spellStart"/>
      <w:r w:rsidRPr="00536F2B">
        <w:rPr>
          <w:rFonts w:ascii="Calibri" w:hAnsi="Calibri" w:cs="Calibri"/>
          <w:color w:val="000000"/>
          <w:sz w:val="23"/>
          <w:szCs w:val="23"/>
        </w:rPr>
        <w:t>KyCPE</w:t>
      </w:r>
      <w:proofErr w:type="spellEnd"/>
      <w:r w:rsidRPr="00536F2B">
        <w:rPr>
          <w:rFonts w:ascii="Calibri" w:hAnsi="Calibri" w:cs="Calibri"/>
          <w:color w:val="000000"/>
          <w:sz w:val="23"/>
          <w:szCs w:val="23"/>
        </w:rPr>
        <w:t xml:space="preserve"> for additional assistance. </w:t>
      </w:r>
    </w:p>
    <w:p w:rsidR="00536F2B" w:rsidRPr="00536F2B" w:rsidRDefault="00536F2B" w:rsidP="00536F2B">
      <w:pPr>
        <w:pStyle w:val="ListParagraph"/>
        <w:numPr>
          <w:ilvl w:val="0"/>
          <w:numId w:val="12"/>
        </w:numPr>
        <w:autoSpaceDE w:val="0"/>
        <w:autoSpaceDN w:val="0"/>
        <w:adjustRightInd w:val="0"/>
        <w:spacing w:after="240" w:line="240" w:lineRule="auto"/>
        <w:contextualSpacing w:val="0"/>
        <w:rPr>
          <w:rFonts w:ascii="Calibri" w:hAnsi="Calibri" w:cs="Calibri"/>
          <w:color w:val="000000"/>
          <w:sz w:val="23"/>
          <w:szCs w:val="23"/>
        </w:rPr>
      </w:pPr>
      <w:r w:rsidRPr="00536F2B">
        <w:rPr>
          <w:rFonts w:ascii="Calibri" w:hAnsi="Calibri" w:cs="Calibri"/>
          <w:color w:val="000000"/>
          <w:sz w:val="23"/>
          <w:szCs w:val="23"/>
        </w:rPr>
        <w:t xml:space="preserve">You can </w:t>
      </w:r>
      <w:r w:rsidRPr="00536F2B">
        <w:rPr>
          <w:rFonts w:ascii="Calibri" w:hAnsi="Calibri" w:cs="Calibri"/>
          <w:b/>
          <w:bCs/>
          <w:i/>
          <w:iCs/>
          <w:color w:val="000000"/>
          <w:sz w:val="23"/>
          <w:szCs w:val="23"/>
        </w:rPr>
        <w:t xml:space="preserve">always </w:t>
      </w:r>
      <w:r w:rsidRPr="00536F2B">
        <w:rPr>
          <w:rFonts w:ascii="Calibri" w:hAnsi="Calibri" w:cs="Calibri"/>
          <w:color w:val="000000"/>
          <w:sz w:val="23"/>
          <w:szCs w:val="23"/>
        </w:rPr>
        <w:t xml:space="preserve">contact </w:t>
      </w:r>
      <w:proofErr w:type="spellStart"/>
      <w:r w:rsidRPr="00536F2B">
        <w:rPr>
          <w:rFonts w:ascii="Calibri" w:hAnsi="Calibri" w:cs="Calibri"/>
          <w:color w:val="000000"/>
          <w:sz w:val="23"/>
          <w:szCs w:val="23"/>
        </w:rPr>
        <w:t>KyCPE</w:t>
      </w:r>
      <w:proofErr w:type="spellEnd"/>
      <w:r w:rsidRPr="00536F2B">
        <w:rPr>
          <w:rFonts w:ascii="Calibri" w:hAnsi="Calibri" w:cs="Calibri"/>
          <w:color w:val="000000"/>
          <w:sz w:val="23"/>
          <w:szCs w:val="23"/>
        </w:rPr>
        <w:t xml:space="preserve"> for help at (XXX) XXX-XXXX or </w:t>
      </w:r>
      <w:r w:rsidRPr="00536F2B">
        <w:rPr>
          <w:rFonts w:ascii="Calibri" w:hAnsi="Calibri" w:cs="Calibri"/>
          <w:b/>
          <w:bCs/>
          <w:color w:val="000000"/>
          <w:sz w:val="23"/>
          <w:szCs w:val="23"/>
        </w:rPr>
        <w:t>contact@tncpe.org</w:t>
      </w:r>
      <w:r w:rsidRPr="00536F2B">
        <w:rPr>
          <w:rFonts w:ascii="Calibri" w:hAnsi="Calibri" w:cs="Calibri"/>
          <w:color w:val="000000"/>
          <w:sz w:val="23"/>
          <w:szCs w:val="23"/>
        </w:rPr>
        <w:t xml:space="preserve">. </w:t>
      </w:r>
    </w:p>
    <w:p w:rsidR="00536F2B" w:rsidRDefault="00536F2B" w:rsidP="00536F2B">
      <w:pPr>
        <w:jc w:val="center"/>
        <w:rPr>
          <w:rFonts w:ascii="Calibri" w:hAnsi="Calibri" w:cs="Calibri"/>
          <w:b/>
          <w:bCs/>
          <w:i/>
          <w:iCs/>
          <w:color w:val="000000"/>
          <w:sz w:val="32"/>
          <w:szCs w:val="32"/>
        </w:rPr>
      </w:pPr>
    </w:p>
    <w:p w:rsidR="00536F2B" w:rsidRDefault="00536F2B" w:rsidP="00536F2B">
      <w:pPr>
        <w:jc w:val="center"/>
        <w:rPr>
          <w:b/>
        </w:rPr>
      </w:pPr>
      <w:r w:rsidRPr="00536F2B">
        <w:rPr>
          <w:rFonts w:ascii="Calibri" w:hAnsi="Calibri" w:cs="Calibri"/>
          <w:b/>
          <w:bCs/>
          <w:i/>
          <w:iCs/>
          <w:color w:val="000000"/>
          <w:sz w:val="32"/>
          <w:szCs w:val="32"/>
        </w:rPr>
        <w:t xml:space="preserve">Trust the Process! </w:t>
      </w:r>
      <w:r>
        <w:rPr>
          <w:b/>
        </w:rPr>
        <w:br w:type="page"/>
      </w:r>
    </w:p>
    <w:p w:rsidR="003657D1" w:rsidRDefault="00CC6530" w:rsidP="00CC6530">
      <w:pPr>
        <w:jc w:val="center"/>
        <w:rPr>
          <w:b/>
        </w:rPr>
      </w:pPr>
      <w:r>
        <w:rPr>
          <w:b/>
        </w:rPr>
        <w:lastRenderedPageBreak/>
        <w:t>Step-by-Step Instructions</w:t>
      </w:r>
    </w:p>
    <w:p w:rsidR="00CC6530" w:rsidRDefault="00CC6530" w:rsidP="00CC6530">
      <w:pPr>
        <w:jc w:val="center"/>
        <w:rPr>
          <w:b/>
        </w:rPr>
      </w:pPr>
      <w:r>
        <w:rPr>
          <w:b/>
        </w:rPr>
        <w:t>For Independent Review</w:t>
      </w:r>
    </w:p>
    <w:tbl>
      <w:tblPr>
        <w:tblStyle w:val="TableGrid"/>
        <w:tblW w:w="0" w:type="auto"/>
        <w:tblLook w:val="04A0" w:firstRow="1" w:lastRow="0" w:firstColumn="1" w:lastColumn="0" w:noHBand="0" w:noVBand="1"/>
      </w:tblPr>
      <w:tblGrid>
        <w:gridCol w:w="1442"/>
        <w:gridCol w:w="7908"/>
      </w:tblGrid>
      <w:tr w:rsidR="00CC6530" w:rsidRPr="00CC6530" w:rsidTr="00F63093">
        <w:tc>
          <w:tcPr>
            <w:tcW w:w="0" w:type="auto"/>
          </w:tcPr>
          <w:p w:rsidR="00CC6530" w:rsidRPr="00CC6530" w:rsidRDefault="00CC6530" w:rsidP="00CC6530">
            <w:pPr>
              <w:rPr>
                <w:b/>
                <w:sz w:val="22"/>
              </w:rPr>
            </w:pPr>
            <w:r w:rsidRPr="00CC6530">
              <w:rPr>
                <w:b/>
                <w:sz w:val="22"/>
              </w:rPr>
              <w:t>STEPS</w:t>
            </w:r>
          </w:p>
        </w:tc>
        <w:tc>
          <w:tcPr>
            <w:tcW w:w="0" w:type="auto"/>
          </w:tcPr>
          <w:p w:rsidR="00CC6530" w:rsidRPr="00CC6530" w:rsidRDefault="00CC6530" w:rsidP="00CC6530">
            <w:pPr>
              <w:rPr>
                <w:b/>
                <w:sz w:val="22"/>
              </w:rPr>
            </w:pPr>
            <w:r w:rsidRPr="00CC6530">
              <w:rPr>
                <w:b/>
                <w:sz w:val="22"/>
              </w:rPr>
              <w:t>ACTIONS</w:t>
            </w:r>
          </w:p>
        </w:tc>
      </w:tr>
      <w:tr w:rsidR="00CC6530" w:rsidRPr="00CC6530" w:rsidTr="00F63093">
        <w:tc>
          <w:tcPr>
            <w:tcW w:w="0" w:type="auto"/>
          </w:tcPr>
          <w:p w:rsidR="00EF12E4" w:rsidRDefault="00EF12E4" w:rsidP="00EF12E4">
            <w:pPr>
              <w:jc w:val="center"/>
              <w:rPr>
                <w:b/>
                <w:i/>
                <w:sz w:val="22"/>
              </w:rPr>
            </w:pPr>
          </w:p>
          <w:p w:rsidR="00CC6530" w:rsidRPr="00CC6530" w:rsidRDefault="002D4F84" w:rsidP="00EF12E4">
            <w:pPr>
              <w:jc w:val="center"/>
              <w:rPr>
                <w:b/>
                <w:sz w:val="22"/>
              </w:rPr>
            </w:pPr>
            <w:r>
              <w:rPr>
                <w:b/>
                <w:i/>
                <w:sz w:val="22"/>
              </w:rPr>
              <w:t>Step 1:</w:t>
            </w:r>
            <w:r w:rsidR="00EF12E4">
              <w:rPr>
                <w:b/>
                <w:i/>
                <w:sz w:val="22"/>
              </w:rPr>
              <w:t xml:space="preserve"> </w:t>
            </w:r>
            <w:r w:rsidR="00CC6530">
              <w:rPr>
                <w:b/>
                <w:sz w:val="22"/>
              </w:rPr>
              <w:t>Assemble your materials</w:t>
            </w:r>
          </w:p>
        </w:tc>
        <w:tc>
          <w:tcPr>
            <w:tcW w:w="0" w:type="auto"/>
          </w:tcPr>
          <w:p w:rsidR="00CC6530" w:rsidRPr="00CC6530" w:rsidRDefault="00CC6530" w:rsidP="00653850">
            <w:pPr>
              <w:spacing w:after="120"/>
              <w:rPr>
                <w:sz w:val="22"/>
              </w:rPr>
            </w:pPr>
            <w:r w:rsidRPr="00CC6530">
              <w:rPr>
                <w:sz w:val="22"/>
              </w:rPr>
              <w:t>In order to complete your independent review, you will need the following materials:</w:t>
            </w:r>
          </w:p>
          <w:p w:rsidR="00653850" w:rsidRDefault="00653850" w:rsidP="00653850">
            <w:pPr>
              <w:pStyle w:val="ListParagraph"/>
              <w:numPr>
                <w:ilvl w:val="0"/>
                <w:numId w:val="1"/>
              </w:numPr>
              <w:spacing w:line="360" w:lineRule="auto"/>
              <w:rPr>
                <w:sz w:val="22"/>
              </w:rPr>
            </w:pPr>
            <w:r>
              <w:rPr>
                <w:sz w:val="22"/>
              </w:rPr>
              <w:t>The assigned application</w:t>
            </w:r>
          </w:p>
          <w:p w:rsidR="00CC6530" w:rsidRPr="00CC6530" w:rsidRDefault="00CC6530" w:rsidP="00CC6530">
            <w:pPr>
              <w:pStyle w:val="ListParagraph"/>
              <w:numPr>
                <w:ilvl w:val="0"/>
                <w:numId w:val="1"/>
              </w:numPr>
              <w:rPr>
                <w:sz w:val="22"/>
              </w:rPr>
            </w:pPr>
            <w:r w:rsidRPr="00CC6530">
              <w:rPr>
                <w:sz w:val="22"/>
              </w:rPr>
              <w:t>Access to the 2015 Baldrige Excellence Framework</w:t>
            </w:r>
          </w:p>
          <w:p w:rsidR="00CC6530" w:rsidRPr="00CC6530" w:rsidRDefault="00CC6530" w:rsidP="00CC6530">
            <w:pPr>
              <w:pStyle w:val="ListParagraph"/>
              <w:rPr>
                <w:sz w:val="22"/>
              </w:rPr>
            </w:pPr>
          </w:p>
          <w:p w:rsidR="00CC6530" w:rsidRDefault="00CC6530" w:rsidP="00CC6530">
            <w:pPr>
              <w:pStyle w:val="ListParagraph"/>
              <w:rPr>
                <w:sz w:val="22"/>
              </w:rPr>
            </w:pPr>
            <w:r w:rsidRPr="00CC6530">
              <w:rPr>
                <w:sz w:val="22"/>
              </w:rPr>
              <w:t xml:space="preserve">The Baldrige Excellence Framework booklet contains the </w:t>
            </w:r>
            <w:r w:rsidRPr="00CC6530">
              <w:rPr>
                <w:i/>
                <w:sz w:val="22"/>
              </w:rPr>
              <w:t xml:space="preserve">Criteria for Performance Excellence, </w:t>
            </w:r>
            <w:r w:rsidRPr="00CC6530">
              <w:rPr>
                <w:sz w:val="22"/>
              </w:rPr>
              <w:t>the Scoring Guidelines, and the Core Values and Concepts</w:t>
            </w:r>
            <w:r>
              <w:rPr>
                <w:sz w:val="22"/>
              </w:rPr>
              <w:t>.</w:t>
            </w:r>
          </w:p>
          <w:p w:rsidR="00CC6530" w:rsidRDefault="00CC6530" w:rsidP="00CC6530">
            <w:pPr>
              <w:pStyle w:val="ListParagraph"/>
              <w:rPr>
                <w:sz w:val="22"/>
              </w:rPr>
            </w:pPr>
          </w:p>
          <w:p w:rsidR="00CC6530" w:rsidRPr="00CC6530" w:rsidRDefault="00096CD6" w:rsidP="00CC6530">
            <w:pPr>
              <w:pStyle w:val="ListParagraph"/>
              <w:numPr>
                <w:ilvl w:val="0"/>
                <w:numId w:val="1"/>
              </w:numPr>
              <w:rPr>
                <w:sz w:val="22"/>
              </w:rPr>
            </w:pPr>
            <w:r>
              <w:rPr>
                <w:sz w:val="22"/>
              </w:rPr>
              <w:t xml:space="preserve">These </w:t>
            </w:r>
            <w:r>
              <w:rPr>
                <w:b/>
                <w:sz w:val="22"/>
              </w:rPr>
              <w:t>step-by-step instructions.</w:t>
            </w:r>
          </w:p>
          <w:p w:rsidR="00CC6530" w:rsidRPr="00CC6530" w:rsidRDefault="00CC6530" w:rsidP="00CC6530">
            <w:pPr>
              <w:rPr>
                <w:sz w:val="22"/>
              </w:rPr>
            </w:pPr>
          </w:p>
        </w:tc>
      </w:tr>
      <w:tr w:rsidR="00BB44E3" w:rsidRPr="00CC6530" w:rsidTr="00F63093">
        <w:tc>
          <w:tcPr>
            <w:tcW w:w="0" w:type="auto"/>
          </w:tcPr>
          <w:p w:rsidR="00EF12E4" w:rsidRDefault="002D4F84" w:rsidP="00EF12E4">
            <w:pPr>
              <w:jc w:val="center"/>
              <w:rPr>
                <w:b/>
                <w:i/>
                <w:sz w:val="22"/>
              </w:rPr>
            </w:pPr>
            <w:r>
              <w:rPr>
                <w:b/>
                <w:i/>
                <w:sz w:val="22"/>
              </w:rPr>
              <w:t>Step 2:</w:t>
            </w:r>
          </w:p>
          <w:p w:rsidR="00EF12E4" w:rsidRDefault="00EF12E4" w:rsidP="00EF12E4">
            <w:pPr>
              <w:jc w:val="center"/>
              <w:rPr>
                <w:b/>
                <w:sz w:val="22"/>
              </w:rPr>
            </w:pPr>
            <w:r>
              <w:rPr>
                <w:b/>
                <w:i/>
                <w:sz w:val="22"/>
              </w:rPr>
              <w:t xml:space="preserve"> </w:t>
            </w:r>
            <w:r w:rsidR="00BB44E3">
              <w:rPr>
                <w:b/>
                <w:sz w:val="22"/>
              </w:rPr>
              <w:t>Read the Intent to Apply and the Organizational Profile to determine any potential Conflict of Interest</w:t>
            </w:r>
          </w:p>
          <w:p w:rsidR="002D4F84" w:rsidRPr="002D4F84" w:rsidRDefault="00EF12E4" w:rsidP="00EF12E4">
            <w:pPr>
              <w:jc w:val="center"/>
              <w:rPr>
                <w:b/>
                <w:i/>
                <w:sz w:val="22"/>
              </w:rPr>
            </w:pPr>
            <w:r>
              <w:rPr>
                <w:b/>
                <w:i/>
                <w:sz w:val="22"/>
              </w:rPr>
              <w:t>(1 Hour)</w:t>
            </w:r>
          </w:p>
        </w:tc>
        <w:tc>
          <w:tcPr>
            <w:tcW w:w="0" w:type="auto"/>
          </w:tcPr>
          <w:p w:rsidR="00BB44E3" w:rsidRDefault="00BB44E3" w:rsidP="00BB44E3">
            <w:pPr>
              <w:spacing w:line="360" w:lineRule="auto"/>
              <w:rPr>
                <w:sz w:val="22"/>
              </w:rPr>
            </w:pPr>
            <w:r>
              <w:rPr>
                <w:sz w:val="22"/>
              </w:rPr>
              <w:t>Determine if you have a Conflict of Interest</w:t>
            </w:r>
            <w:r w:rsidR="002D4F84">
              <w:rPr>
                <w:sz w:val="22"/>
              </w:rPr>
              <w:t>.</w:t>
            </w:r>
          </w:p>
          <w:p w:rsidR="002D4F84" w:rsidRDefault="002D4F84" w:rsidP="00BB44E3">
            <w:pPr>
              <w:spacing w:line="360" w:lineRule="auto"/>
              <w:rPr>
                <w:sz w:val="22"/>
              </w:rPr>
            </w:pPr>
            <w:r>
              <w:rPr>
                <w:sz w:val="22"/>
              </w:rPr>
              <w:t>If you do, call Dan Dufresne (502) 472-8882</w:t>
            </w:r>
          </w:p>
          <w:p w:rsidR="002D4F84" w:rsidRDefault="002D4F84" w:rsidP="00BB44E3">
            <w:pPr>
              <w:spacing w:line="360" w:lineRule="auto"/>
              <w:rPr>
                <w:sz w:val="22"/>
              </w:rPr>
            </w:pPr>
            <w:r>
              <w:rPr>
                <w:sz w:val="22"/>
              </w:rPr>
              <w:t>If not, complete the No Conflict of Interest and send to Dan Dufresne. (dgd5385@aol.com)</w:t>
            </w:r>
          </w:p>
        </w:tc>
      </w:tr>
      <w:tr w:rsidR="00BB44E3" w:rsidRPr="00CC6530" w:rsidTr="00F63093">
        <w:tc>
          <w:tcPr>
            <w:tcW w:w="0" w:type="auto"/>
          </w:tcPr>
          <w:p w:rsidR="00EF12E4" w:rsidRDefault="00EF12E4" w:rsidP="00EF12E4">
            <w:pPr>
              <w:jc w:val="center"/>
              <w:rPr>
                <w:b/>
                <w:i/>
                <w:sz w:val="22"/>
              </w:rPr>
            </w:pPr>
          </w:p>
          <w:p w:rsidR="002D4F84" w:rsidRDefault="002D4F84" w:rsidP="00EF12E4">
            <w:pPr>
              <w:jc w:val="center"/>
              <w:rPr>
                <w:b/>
                <w:i/>
                <w:sz w:val="22"/>
              </w:rPr>
            </w:pPr>
            <w:r>
              <w:rPr>
                <w:b/>
                <w:i/>
                <w:sz w:val="22"/>
              </w:rPr>
              <w:t>Step 3:</w:t>
            </w:r>
          </w:p>
          <w:p w:rsidR="00BB44E3" w:rsidRDefault="00BB44E3" w:rsidP="00EF12E4">
            <w:pPr>
              <w:jc w:val="center"/>
              <w:rPr>
                <w:b/>
                <w:sz w:val="22"/>
              </w:rPr>
            </w:pPr>
            <w:r>
              <w:rPr>
                <w:b/>
                <w:sz w:val="22"/>
              </w:rPr>
              <w:t>Review the Baldrige Excellence Framework</w:t>
            </w:r>
          </w:p>
          <w:p w:rsidR="00EF12E4" w:rsidRDefault="00EF12E4" w:rsidP="00EF12E4">
            <w:pPr>
              <w:jc w:val="center"/>
              <w:rPr>
                <w:b/>
                <w:sz w:val="22"/>
              </w:rPr>
            </w:pPr>
          </w:p>
          <w:p w:rsidR="00EF12E4" w:rsidRPr="00EF12E4" w:rsidRDefault="00EF12E4" w:rsidP="00EF12E4">
            <w:pPr>
              <w:jc w:val="center"/>
              <w:rPr>
                <w:b/>
                <w:i/>
                <w:sz w:val="22"/>
              </w:rPr>
            </w:pPr>
            <w:r>
              <w:rPr>
                <w:b/>
                <w:i/>
                <w:sz w:val="22"/>
              </w:rPr>
              <w:t>(1 hour)</w:t>
            </w:r>
          </w:p>
          <w:p w:rsidR="00EF12E4" w:rsidRDefault="00EF12E4" w:rsidP="00EF12E4">
            <w:pPr>
              <w:jc w:val="center"/>
              <w:rPr>
                <w:b/>
                <w:sz w:val="22"/>
              </w:rPr>
            </w:pPr>
          </w:p>
          <w:p w:rsidR="00EF12E4" w:rsidRDefault="00EF12E4" w:rsidP="00EF12E4">
            <w:pPr>
              <w:jc w:val="center"/>
              <w:rPr>
                <w:b/>
                <w:sz w:val="22"/>
              </w:rPr>
            </w:pPr>
          </w:p>
        </w:tc>
        <w:tc>
          <w:tcPr>
            <w:tcW w:w="0" w:type="auto"/>
          </w:tcPr>
          <w:p w:rsidR="00BB44E3" w:rsidRDefault="00BB44E3" w:rsidP="00BB44E3">
            <w:pPr>
              <w:spacing w:line="360" w:lineRule="auto"/>
              <w:rPr>
                <w:sz w:val="22"/>
              </w:rPr>
            </w:pPr>
            <w:r>
              <w:rPr>
                <w:sz w:val="22"/>
              </w:rPr>
              <w:t>Now that you are ready to begin your independent review, the first step is to review the Baldrige Excellence Framework:</w:t>
            </w:r>
          </w:p>
          <w:p w:rsidR="00BB44E3" w:rsidRDefault="00BB44E3" w:rsidP="00BB44E3">
            <w:pPr>
              <w:pStyle w:val="ListParagraph"/>
              <w:numPr>
                <w:ilvl w:val="0"/>
                <w:numId w:val="4"/>
              </w:numPr>
              <w:spacing w:line="360" w:lineRule="auto"/>
              <w:rPr>
                <w:sz w:val="22"/>
              </w:rPr>
            </w:pPr>
            <w:r w:rsidRPr="00653850">
              <w:rPr>
                <w:i/>
                <w:sz w:val="22"/>
              </w:rPr>
              <w:t xml:space="preserve">Criteria for Performance Excellence </w:t>
            </w:r>
            <w:r w:rsidRPr="00653850">
              <w:rPr>
                <w:sz w:val="22"/>
              </w:rPr>
              <w:t>(Pages 4-29)</w:t>
            </w:r>
          </w:p>
          <w:p w:rsidR="00BB44E3" w:rsidRDefault="00BB44E3" w:rsidP="00BB44E3">
            <w:pPr>
              <w:pStyle w:val="ListParagraph"/>
              <w:numPr>
                <w:ilvl w:val="0"/>
                <w:numId w:val="4"/>
              </w:numPr>
              <w:spacing w:line="360" w:lineRule="auto"/>
              <w:rPr>
                <w:sz w:val="22"/>
              </w:rPr>
            </w:pPr>
            <w:r>
              <w:rPr>
                <w:sz w:val="22"/>
              </w:rPr>
              <w:t>Scoring System and Scoring Guidelines (pages 30-35)</w:t>
            </w:r>
          </w:p>
          <w:p w:rsidR="00BB44E3" w:rsidRDefault="00BB44E3" w:rsidP="00BB44E3">
            <w:pPr>
              <w:pStyle w:val="ListParagraph"/>
              <w:numPr>
                <w:ilvl w:val="0"/>
                <w:numId w:val="4"/>
              </w:numPr>
              <w:spacing w:line="360" w:lineRule="auto"/>
              <w:rPr>
                <w:sz w:val="22"/>
              </w:rPr>
            </w:pPr>
            <w:r>
              <w:rPr>
                <w:sz w:val="22"/>
              </w:rPr>
              <w:t>Criteria Response Guidelines (pages 36-38)</w:t>
            </w:r>
          </w:p>
          <w:p w:rsidR="00BB44E3" w:rsidRDefault="00BB44E3" w:rsidP="00BB44E3">
            <w:pPr>
              <w:pStyle w:val="ListParagraph"/>
              <w:numPr>
                <w:ilvl w:val="0"/>
                <w:numId w:val="4"/>
              </w:numPr>
              <w:spacing w:line="360" w:lineRule="auto"/>
              <w:rPr>
                <w:sz w:val="22"/>
              </w:rPr>
            </w:pPr>
            <w:r>
              <w:rPr>
                <w:sz w:val="22"/>
              </w:rPr>
              <w:t>Core Values and Concepts (pages 39-43)</w:t>
            </w:r>
          </w:p>
          <w:p w:rsidR="00BB44E3" w:rsidRPr="00653850" w:rsidRDefault="00BB44E3" w:rsidP="00BB44E3">
            <w:pPr>
              <w:spacing w:line="360" w:lineRule="auto"/>
              <w:rPr>
                <w:sz w:val="20"/>
              </w:rPr>
            </w:pPr>
            <w:r w:rsidRPr="00653850">
              <w:rPr>
                <w:b/>
                <w:i/>
                <w:sz w:val="20"/>
              </w:rPr>
              <w:t>*Tip:</w:t>
            </w:r>
            <w:r w:rsidRPr="00653850">
              <w:rPr>
                <w:i/>
                <w:sz w:val="20"/>
              </w:rPr>
              <w:t xml:space="preserve"> Put a paperclip or tab on the Glossary of Key Terms (pages 47-54)</w:t>
            </w:r>
          </w:p>
          <w:p w:rsidR="00BB44E3" w:rsidRPr="00653850" w:rsidRDefault="00BB44E3" w:rsidP="00BB44E3">
            <w:pPr>
              <w:spacing w:line="360" w:lineRule="auto"/>
              <w:rPr>
                <w:sz w:val="22"/>
              </w:rPr>
            </w:pPr>
          </w:p>
        </w:tc>
      </w:tr>
      <w:tr w:rsidR="002D4F84" w:rsidRPr="00CC6530" w:rsidTr="00F63093">
        <w:tc>
          <w:tcPr>
            <w:tcW w:w="0" w:type="auto"/>
          </w:tcPr>
          <w:p w:rsidR="00EF12E4" w:rsidRDefault="00EF12E4" w:rsidP="00EF12E4">
            <w:pPr>
              <w:jc w:val="center"/>
              <w:rPr>
                <w:b/>
                <w:i/>
                <w:sz w:val="22"/>
              </w:rPr>
            </w:pPr>
          </w:p>
          <w:p w:rsidR="00EF12E4" w:rsidRDefault="00EF12E4" w:rsidP="00EF12E4">
            <w:pPr>
              <w:jc w:val="center"/>
              <w:rPr>
                <w:b/>
                <w:i/>
                <w:sz w:val="22"/>
              </w:rPr>
            </w:pPr>
            <w:r>
              <w:rPr>
                <w:b/>
                <w:i/>
                <w:sz w:val="22"/>
              </w:rPr>
              <w:t>Step 4:</w:t>
            </w:r>
          </w:p>
          <w:p w:rsidR="002D4F84" w:rsidRDefault="002D4F84" w:rsidP="00EF12E4">
            <w:pPr>
              <w:jc w:val="center"/>
              <w:rPr>
                <w:b/>
                <w:sz w:val="22"/>
              </w:rPr>
            </w:pPr>
            <w:r>
              <w:rPr>
                <w:b/>
                <w:sz w:val="22"/>
              </w:rPr>
              <w:t>Read the application</w:t>
            </w:r>
          </w:p>
          <w:p w:rsidR="00EF12E4" w:rsidRDefault="00EF12E4" w:rsidP="00EF12E4">
            <w:pPr>
              <w:jc w:val="center"/>
              <w:rPr>
                <w:b/>
                <w:sz w:val="22"/>
              </w:rPr>
            </w:pPr>
          </w:p>
          <w:p w:rsidR="00EF12E4" w:rsidRPr="00EF12E4" w:rsidRDefault="00EF12E4" w:rsidP="00EF12E4">
            <w:pPr>
              <w:jc w:val="center"/>
              <w:rPr>
                <w:b/>
                <w:i/>
                <w:sz w:val="22"/>
              </w:rPr>
            </w:pPr>
            <w:r>
              <w:rPr>
                <w:b/>
                <w:i/>
                <w:sz w:val="22"/>
              </w:rPr>
              <w:t>(3 – 5 hours)</w:t>
            </w:r>
          </w:p>
        </w:tc>
        <w:tc>
          <w:tcPr>
            <w:tcW w:w="0" w:type="auto"/>
          </w:tcPr>
          <w:p w:rsidR="002D4F84" w:rsidRPr="002D4F84" w:rsidRDefault="002D4F84" w:rsidP="002D4F84">
            <w:pPr>
              <w:spacing w:after="120"/>
              <w:rPr>
                <w:sz w:val="22"/>
              </w:rPr>
            </w:pPr>
            <w:r>
              <w:rPr>
                <w:sz w:val="22"/>
              </w:rPr>
              <w:t>Read the entire application from beginning to end.</w:t>
            </w:r>
          </w:p>
          <w:p w:rsidR="002D4F84" w:rsidRPr="002D4F84" w:rsidRDefault="002D4F84" w:rsidP="002D4F84">
            <w:pPr>
              <w:pStyle w:val="Default"/>
              <w:numPr>
                <w:ilvl w:val="0"/>
                <w:numId w:val="6"/>
              </w:numPr>
              <w:spacing w:after="120"/>
              <w:rPr>
                <w:rFonts w:ascii="Arial" w:hAnsi="Arial" w:cs="Arial"/>
                <w:sz w:val="22"/>
                <w:szCs w:val="22"/>
              </w:rPr>
            </w:pPr>
            <w:r w:rsidRPr="002D4F84">
              <w:rPr>
                <w:rFonts w:ascii="Arial" w:hAnsi="Arial" w:cs="Arial"/>
                <w:sz w:val="22"/>
                <w:szCs w:val="22"/>
              </w:rPr>
              <w:t xml:space="preserve">As you read, make note of the applicant’s key processes and any results you would expect to see related to these processes. </w:t>
            </w:r>
          </w:p>
          <w:p w:rsidR="002D4F84" w:rsidRPr="002D4F84" w:rsidRDefault="002D4F84" w:rsidP="002D4F84">
            <w:pPr>
              <w:pStyle w:val="Default"/>
              <w:numPr>
                <w:ilvl w:val="0"/>
                <w:numId w:val="6"/>
              </w:numPr>
              <w:spacing w:after="120"/>
              <w:rPr>
                <w:rFonts w:ascii="Arial" w:hAnsi="Arial" w:cs="Arial"/>
                <w:sz w:val="22"/>
                <w:szCs w:val="22"/>
              </w:rPr>
            </w:pPr>
            <w:r w:rsidRPr="002D4F84">
              <w:rPr>
                <w:rFonts w:ascii="Arial" w:hAnsi="Arial" w:cs="Arial"/>
                <w:sz w:val="22"/>
                <w:szCs w:val="22"/>
              </w:rPr>
              <w:t xml:space="preserve">Consider highlighting key words in each paragraph, or using separate highlighters for A-D-L-I or the different categories. It’s okay to mark up and make notes on the application – find the system that works for you! </w:t>
            </w:r>
          </w:p>
          <w:p w:rsidR="002D4F84" w:rsidRPr="002D4F84" w:rsidRDefault="002D4F84" w:rsidP="002D4F84">
            <w:pPr>
              <w:pStyle w:val="Default"/>
              <w:numPr>
                <w:ilvl w:val="0"/>
                <w:numId w:val="6"/>
              </w:numPr>
              <w:spacing w:after="120"/>
              <w:rPr>
                <w:sz w:val="22"/>
                <w:szCs w:val="22"/>
              </w:rPr>
            </w:pPr>
            <w:r w:rsidRPr="002D4F84">
              <w:rPr>
                <w:rFonts w:ascii="Arial" w:hAnsi="Arial" w:cs="Arial"/>
                <w:sz w:val="22"/>
                <w:szCs w:val="22"/>
              </w:rPr>
              <w:lastRenderedPageBreak/>
              <w:t xml:space="preserve">Also note any initial thoughts you have regarding gaps in the applicant’s responses or things to watch for as you begin your evaluation. </w:t>
            </w:r>
          </w:p>
        </w:tc>
      </w:tr>
      <w:tr w:rsidR="002D4F84" w:rsidRPr="00CC6530" w:rsidTr="00F63093">
        <w:tc>
          <w:tcPr>
            <w:tcW w:w="0" w:type="auto"/>
          </w:tcPr>
          <w:p w:rsidR="00EF12E4" w:rsidRDefault="00EF12E4" w:rsidP="002D4F84">
            <w:pPr>
              <w:rPr>
                <w:b/>
                <w:sz w:val="22"/>
              </w:rPr>
            </w:pPr>
          </w:p>
          <w:p w:rsidR="00EF12E4" w:rsidRDefault="00EF12E4" w:rsidP="002D4F84">
            <w:pPr>
              <w:rPr>
                <w:b/>
                <w:i/>
                <w:sz w:val="22"/>
              </w:rPr>
            </w:pPr>
            <w:r>
              <w:rPr>
                <w:b/>
                <w:i/>
                <w:sz w:val="22"/>
              </w:rPr>
              <w:t>Step 5:</w:t>
            </w:r>
          </w:p>
          <w:p w:rsidR="002D4F84" w:rsidRPr="00096CD6" w:rsidRDefault="00EF12E4" w:rsidP="00EF12E4">
            <w:pPr>
              <w:jc w:val="center"/>
              <w:rPr>
                <w:b/>
                <w:sz w:val="22"/>
              </w:rPr>
            </w:pPr>
            <w:r>
              <w:rPr>
                <w:b/>
                <w:sz w:val="22"/>
              </w:rPr>
              <w:t>Identify Key Factors</w:t>
            </w:r>
          </w:p>
        </w:tc>
        <w:tc>
          <w:tcPr>
            <w:tcW w:w="0" w:type="auto"/>
          </w:tcPr>
          <w:p w:rsidR="002D4F84" w:rsidRDefault="0080430E" w:rsidP="0080430E">
            <w:pPr>
              <w:spacing w:line="360" w:lineRule="auto"/>
              <w:rPr>
                <w:sz w:val="22"/>
              </w:rPr>
            </w:pPr>
            <w:r>
              <w:rPr>
                <w:b/>
                <w:sz w:val="22"/>
              </w:rPr>
              <w:t>Create a list of key factors for the applicant.</w:t>
            </w:r>
          </w:p>
          <w:p w:rsidR="0080430E" w:rsidRDefault="0080430E" w:rsidP="0080430E">
            <w:pPr>
              <w:spacing w:line="360" w:lineRule="auto"/>
              <w:rPr>
                <w:sz w:val="22"/>
              </w:rPr>
            </w:pPr>
            <w:r>
              <w:rPr>
                <w:sz w:val="22"/>
              </w:rPr>
              <w:t xml:space="preserve">A </w:t>
            </w:r>
            <w:r>
              <w:rPr>
                <w:b/>
                <w:i/>
                <w:sz w:val="22"/>
              </w:rPr>
              <w:t>key factor</w:t>
            </w:r>
            <w:r>
              <w:rPr>
                <w:sz w:val="22"/>
              </w:rPr>
              <w:t xml:space="preserve"> is an attribute of an organization or its environment that influences the way the organization operates and key challenges </w:t>
            </w:r>
            <w:proofErr w:type="spellStart"/>
            <w:r>
              <w:rPr>
                <w:sz w:val="22"/>
              </w:rPr>
              <w:t>its</w:t>
            </w:r>
            <w:proofErr w:type="spellEnd"/>
            <w:r>
              <w:rPr>
                <w:sz w:val="22"/>
              </w:rPr>
              <w:t xml:space="preserve"> faces.  </w:t>
            </w:r>
            <w:r>
              <w:rPr>
                <w:b/>
                <w:sz w:val="22"/>
              </w:rPr>
              <w:t>Examiners use key factors to focus their assessments on what is most important to the applicant.</w:t>
            </w:r>
          </w:p>
          <w:p w:rsidR="0080430E" w:rsidRDefault="0080430E" w:rsidP="0080430E">
            <w:pPr>
              <w:pStyle w:val="ListParagraph"/>
              <w:numPr>
                <w:ilvl w:val="0"/>
                <w:numId w:val="7"/>
              </w:numPr>
              <w:spacing w:line="360" w:lineRule="auto"/>
              <w:rPr>
                <w:sz w:val="22"/>
              </w:rPr>
            </w:pPr>
            <w:r>
              <w:rPr>
                <w:sz w:val="22"/>
              </w:rPr>
              <w:t>Access the Key Factors Worksheet on the QE Workbook</w:t>
            </w:r>
          </w:p>
          <w:p w:rsidR="0080430E" w:rsidRDefault="0080430E" w:rsidP="0080430E">
            <w:pPr>
              <w:pStyle w:val="ListParagraph"/>
              <w:numPr>
                <w:ilvl w:val="0"/>
                <w:numId w:val="7"/>
              </w:numPr>
              <w:spacing w:line="360" w:lineRule="auto"/>
              <w:rPr>
                <w:sz w:val="22"/>
              </w:rPr>
            </w:pPr>
            <w:r>
              <w:rPr>
                <w:sz w:val="22"/>
              </w:rPr>
              <w:t>Read the Criteria questions for items P.1 and P.2.</w:t>
            </w:r>
          </w:p>
          <w:p w:rsidR="0080430E" w:rsidRDefault="0080430E" w:rsidP="0080430E">
            <w:pPr>
              <w:pStyle w:val="ListParagraph"/>
              <w:numPr>
                <w:ilvl w:val="0"/>
                <w:numId w:val="7"/>
              </w:numPr>
              <w:spacing w:line="360" w:lineRule="auto"/>
              <w:rPr>
                <w:sz w:val="22"/>
              </w:rPr>
            </w:pPr>
            <w:r>
              <w:rPr>
                <w:sz w:val="22"/>
              </w:rPr>
              <w:t>As you read the Org. Profile, which responds to these questions, identify key factors (organizational attributes that influence how the organization operates),</w:t>
            </w:r>
          </w:p>
          <w:p w:rsidR="0080430E" w:rsidRDefault="0080430E" w:rsidP="0080430E">
            <w:pPr>
              <w:pStyle w:val="ListParagraph"/>
              <w:numPr>
                <w:ilvl w:val="0"/>
                <w:numId w:val="7"/>
              </w:numPr>
              <w:spacing w:line="360" w:lineRule="auto"/>
              <w:rPr>
                <w:sz w:val="22"/>
              </w:rPr>
            </w:pPr>
            <w:r>
              <w:rPr>
                <w:sz w:val="22"/>
              </w:rPr>
              <w:t>A majority of key factors will be found in the Org. Profile.  However, you may also find them in the applicant’s responses to the Criteria items, the Intent to Apply form, etc.</w:t>
            </w:r>
          </w:p>
          <w:p w:rsidR="0080430E" w:rsidRPr="0080430E" w:rsidRDefault="0080430E" w:rsidP="0080430E">
            <w:pPr>
              <w:pStyle w:val="ListParagraph"/>
              <w:numPr>
                <w:ilvl w:val="0"/>
                <w:numId w:val="7"/>
              </w:numPr>
              <w:spacing w:line="360" w:lineRule="auto"/>
              <w:rPr>
                <w:sz w:val="22"/>
              </w:rPr>
            </w:pPr>
            <w:r>
              <w:rPr>
                <w:sz w:val="22"/>
              </w:rPr>
              <w:t>Enter these key factors into the Key Factors Worksheet.</w:t>
            </w:r>
          </w:p>
        </w:tc>
      </w:tr>
      <w:tr w:rsidR="006449B0" w:rsidRPr="00CC6530" w:rsidTr="00A37EE3">
        <w:trPr>
          <w:trHeight w:val="12410"/>
        </w:trPr>
        <w:tc>
          <w:tcPr>
            <w:tcW w:w="0" w:type="auto"/>
          </w:tcPr>
          <w:p w:rsidR="006449B0" w:rsidRDefault="006449B0" w:rsidP="006449B0">
            <w:pPr>
              <w:jc w:val="center"/>
              <w:rPr>
                <w:b/>
                <w:i/>
                <w:sz w:val="22"/>
              </w:rPr>
            </w:pPr>
            <w:r>
              <w:rPr>
                <w:b/>
                <w:i/>
                <w:sz w:val="22"/>
              </w:rPr>
              <w:lastRenderedPageBreak/>
              <w:t>Step6:</w:t>
            </w:r>
          </w:p>
          <w:p w:rsidR="006449B0" w:rsidRDefault="006449B0" w:rsidP="006449B0">
            <w:pPr>
              <w:jc w:val="center"/>
              <w:rPr>
                <w:b/>
                <w:i/>
                <w:sz w:val="22"/>
              </w:rPr>
            </w:pPr>
            <w:r>
              <w:rPr>
                <w:b/>
                <w:i/>
                <w:sz w:val="22"/>
              </w:rPr>
              <w:t>Evaluate each Item in Categories 1 – 7</w:t>
            </w:r>
          </w:p>
          <w:p w:rsidR="006449B0" w:rsidRDefault="006449B0" w:rsidP="006449B0">
            <w:pPr>
              <w:jc w:val="center"/>
              <w:rPr>
                <w:b/>
                <w:i/>
                <w:sz w:val="22"/>
              </w:rPr>
            </w:pPr>
          </w:p>
          <w:p w:rsidR="006449B0" w:rsidRPr="0080430E" w:rsidRDefault="006449B0" w:rsidP="006449B0">
            <w:pPr>
              <w:jc w:val="center"/>
              <w:rPr>
                <w:b/>
                <w:i/>
                <w:sz w:val="22"/>
              </w:rPr>
            </w:pPr>
            <w:r>
              <w:rPr>
                <w:b/>
                <w:i/>
                <w:sz w:val="22"/>
              </w:rPr>
              <w:t>(2 – 3 hours per item)</w:t>
            </w:r>
          </w:p>
        </w:tc>
        <w:tc>
          <w:tcPr>
            <w:tcW w:w="0" w:type="auto"/>
          </w:tcPr>
          <w:p w:rsidR="006449B0" w:rsidRPr="00431541" w:rsidRDefault="006449B0" w:rsidP="006449B0">
            <w:pPr>
              <w:spacing w:after="120"/>
              <w:rPr>
                <w:sz w:val="22"/>
                <w:szCs w:val="22"/>
              </w:rPr>
            </w:pPr>
            <w:r w:rsidRPr="00431541">
              <w:rPr>
                <w:b/>
                <w:sz w:val="22"/>
                <w:szCs w:val="22"/>
              </w:rPr>
              <w:t>Complete the seven-step item evaluation process for each item and record your observations in the appropriate Worksheet.</w:t>
            </w:r>
          </w:p>
          <w:p w:rsidR="006449B0" w:rsidRPr="00431541" w:rsidRDefault="006449B0" w:rsidP="006449B0">
            <w:pPr>
              <w:pStyle w:val="ListParagraph"/>
              <w:numPr>
                <w:ilvl w:val="0"/>
                <w:numId w:val="8"/>
              </w:numPr>
              <w:spacing w:line="360" w:lineRule="auto"/>
              <w:ind w:left="342"/>
              <w:rPr>
                <w:b/>
                <w:sz w:val="22"/>
                <w:szCs w:val="22"/>
              </w:rPr>
            </w:pPr>
            <w:r w:rsidRPr="00431541">
              <w:rPr>
                <w:b/>
                <w:sz w:val="22"/>
                <w:szCs w:val="22"/>
                <w:u w:val="single"/>
              </w:rPr>
              <w:t>Read the Criteria</w:t>
            </w:r>
          </w:p>
          <w:p w:rsidR="006449B0" w:rsidRPr="00431541" w:rsidRDefault="006449B0" w:rsidP="006449B0">
            <w:pPr>
              <w:pStyle w:val="ListParagraph"/>
              <w:spacing w:after="120"/>
              <w:ind w:left="346"/>
              <w:rPr>
                <w:sz w:val="22"/>
                <w:szCs w:val="22"/>
              </w:rPr>
            </w:pPr>
            <w:r w:rsidRPr="00431541">
              <w:rPr>
                <w:sz w:val="22"/>
                <w:szCs w:val="22"/>
              </w:rPr>
              <w:t>Read the Criteria item to refresh your memory and help you understand the item requirements.  For example, when evaluating item 2.1, read Criteria item 2.1.</w:t>
            </w:r>
          </w:p>
          <w:p w:rsidR="006449B0" w:rsidRPr="00431541" w:rsidRDefault="006449B0" w:rsidP="006449B0">
            <w:pPr>
              <w:pStyle w:val="ListParagraph"/>
              <w:spacing w:after="120"/>
              <w:ind w:left="346"/>
              <w:rPr>
                <w:sz w:val="22"/>
                <w:szCs w:val="22"/>
              </w:rPr>
            </w:pPr>
          </w:p>
          <w:p w:rsidR="006449B0" w:rsidRPr="00431541" w:rsidRDefault="006449B0" w:rsidP="006449B0">
            <w:pPr>
              <w:pStyle w:val="ListParagraph"/>
              <w:numPr>
                <w:ilvl w:val="0"/>
                <w:numId w:val="8"/>
              </w:numPr>
              <w:spacing w:before="120" w:after="120"/>
              <w:ind w:left="342"/>
              <w:rPr>
                <w:b/>
                <w:sz w:val="22"/>
                <w:szCs w:val="22"/>
              </w:rPr>
            </w:pPr>
            <w:r w:rsidRPr="00431541">
              <w:rPr>
                <w:b/>
                <w:sz w:val="22"/>
                <w:szCs w:val="22"/>
                <w:u w:val="single"/>
              </w:rPr>
              <w:t>Assign key factors</w:t>
            </w:r>
          </w:p>
          <w:p w:rsidR="006449B0" w:rsidRPr="00431541" w:rsidRDefault="006449B0" w:rsidP="006449B0">
            <w:pPr>
              <w:pStyle w:val="ListParagraph"/>
              <w:ind w:left="346"/>
              <w:rPr>
                <w:sz w:val="22"/>
                <w:szCs w:val="22"/>
              </w:rPr>
            </w:pPr>
          </w:p>
          <w:p w:rsidR="006449B0" w:rsidRPr="00431541" w:rsidRDefault="006449B0" w:rsidP="006449B0">
            <w:pPr>
              <w:pStyle w:val="ListParagraph"/>
              <w:spacing w:after="240"/>
              <w:ind w:left="346"/>
              <w:rPr>
                <w:sz w:val="22"/>
                <w:szCs w:val="22"/>
              </w:rPr>
            </w:pPr>
            <w:r w:rsidRPr="00431541">
              <w:rPr>
                <w:sz w:val="22"/>
                <w:szCs w:val="22"/>
              </w:rPr>
              <w:t>Determine the most relevant key factors for the item.</w:t>
            </w:r>
          </w:p>
          <w:p w:rsidR="006449B0" w:rsidRPr="00431541" w:rsidRDefault="006449B0" w:rsidP="006449B0">
            <w:pPr>
              <w:pStyle w:val="ListParagraph"/>
              <w:numPr>
                <w:ilvl w:val="0"/>
                <w:numId w:val="9"/>
              </w:numPr>
              <w:spacing w:after="240"/>
              <w:rPr>
                <w:sz w:val="22"/>
                <w:szCs w:val="22"/>
              </w:rPr>
            </w:pPr>
            <w:r w:rsidRPr="00431541">
              <w:rPr>
                <w:sz w:val="22"/>
                <w:szCs w:val="22"/>
              </w:rPr>
              <w:t>Review the master list of key factors you developed from the Org. Profile</w:t>
            </w:r>
          </w:p>
          <w:p w:rsidR="006449B0" w:rsidRPr="00431541" w:rsidRDefault="006449B0" w:rsidP="006449B0">
            <w:pPr>
              <w:pStyle w:val="ListParagraph"/>
              <w:numPr>
                <w:ilvl w:val="0"/>
                <w:numId w:val="9"/>
              </w:numPr>
              <w:spacing w:after="240"/>
              <w:rPr>
                <w:sz w:val="22"/>
                <w:szCs w:val="22"/>
              </w:rPr>
            </w:pPr>
            <w:r w:rsidRPr="00431541">
              <w:rPr>
                <w:sz w:val="22"/>
                <w:szCs w:val="22"/>
              </w:rPr>
              <w:t>Considering what the Criteria is asking, which of these organizational attributes would have the greatest influence on the applicant’s responses to the item requirements?</w:t>
            </w:r>
          </w:p>
          <w:p w:rsidR="006449B0" w:rsidRPr="00431541" w:rsidRDefault="006449B0" w:rsidP="006449B0">
            <w:pPr>
              <w:pStyle w:val="ListParagraph"/>
              <w:numPr>
                <w:ilvl w:val="0"/>
                <w:numId w:val="9"/>
              </w:numPr>
              <w:spacing w:after="240"/>
              <w:rPr>
                <w:sz w:val="22"/>
                <w:szCs w:val="22"/>
              </w:rPr>
            </w:pPr>
            <w:r w:rsidRPr="00431541">
              <w:rPr>
                <w:sz w:val="22"/>
                <w:szCs w:val="22"/>
              </w:rPr>
              <w:t>Click on the appropriate Item Worksheet</w:t>
            </w:r>
          </w:p>
          <w:p w:rsidR="006449B0" w:rsidRPr="00431541" w:rsidRDefault="006449B0" w:rsidP="006449B0">
            <w:pPr>
              <w:pStyle w:val="ListParagraph"/>
              <w:numPr>
                <w:ilvl w:val="0"/>
                <w:numId w:val="9"/>
              </w:numPr>
              <w:spacing w:after="240"/>
              <w:rPr>
                <w:sz w:val="22"/>
                <w:szCs w:val="22"/>
              </w:rPr>
            </w:pPr>
            <w:r w:rsidRPr="00431541">
              <w:rPr>
                <w:sz w:val="22"/>
                <w:szCs w:val="22"/>
              </w:rPr>
              <w:t>Enter the relevant key factor number in the Key Factor cell next to the appropriate Item Ref.</w:t>
            </w:r>
          </w:p>
          <w:p w:rsidR="006449B0" w:rsidRPr="00431541" w:rsidRDefault="006449B0" w:rsidP="006449B0">
            <w:pPr>
              <w:pStyle w:val="ListParagraph"/>
              <w:spacing w:after="240"/>
              <w:ind w:left="1066"/>
              <w:rPr>
                <w:sz w:val="22"/>
                <w:szCs w:val="22"/>
              </w:rPr>
            </w:pPr>
          </w:p>
          <w:p w:rsidR="006449B0" w:rsidRPr="00431541" w:rsidRDefault="006449B0" w:rsidP="006449B0">
            <w:pPr>
              <w:pStyle w:val="ListParagraph"/>
              <w:numPr>
                <w:ilvl w:val="0"/>
                <w:numId w:val="8"/>
              </w:numPr>
              <w:spacing w:after="240"/>
              <w:ind w:left="342"/>
              <w:rPr>
                <w:b/>
                <w:sz w:val="22"/>
                <w:szCs w:val="22"/>
              </w:rPr>
            </w:pPr>
            <w:r w:rsidRPr="00431541">
              <w:rPr>
                <w:b/>
                <w:sz w:val="22"/>
                <w:szCs w:val="22"/>
                <w:u w:val="single"/>
              </w:rPr>
              <w:t>Read the relevant section of the application</w:t>
            </w:r>
          </w:p>
          <w:p w:rsidR="006449B0" w:rsidRPr="00431541" w:rsidRDefault="006449B0" w:rsidP="006449B0">
            <w:pPr>
              <w:pStyle w:val="ListParagraph"/>
              <w:spacing w:after="240"/>
              <w:ind w:left="342"/>
              <w:rPr>
                <w:sz w:val="22"/>
                <w:szCs w:val="22"/>
              </w:rPr>
            </w:pPr>
            <w:r w:rsidRPr="00431541">
              <w:rPr>
                <w:sz w:val="22"/>
                <w:szCs w:val="22"/>
              </w:rPr>
              <w:t xml:space="preserve">For example, when evaluating item 2.1, read the applicant’s response to item 2.1.  For </w:t>
            </w:r>
            <w:r w:rsidRPr="00431541">
              <w:rPr>
                <w:b/>
                <w:sz w:val="22"/>
                <w:szCs w:val="22"/>
              </w:rPr>
              <w:t>process items</w:t>
            </w:r>
            <w:r w:rsidRPr="00431541">
              <w:rPr>
                <w:sz w:val="22"/>
                <w:szCs w:val="22"/>
              </w:rPr>
              <w:t xml:space="preserve"> (Categories 1-6), identify </w:t>
            </w:r>
            <w:r w:rsidRPr="00431541">
              <w:rPr>
                <w:b/>
                <w:sz w:val="22"/>
                <w:szCs w:val="22"/>
              </w:rPr>
              <w:t>processes</w:t>
            </w:r>
            <w:r w:rsidRPr="00431541">
              <w:rPr>
                <w:sz w:val="22"/>
                <w:szCs w:val="22"/>
              </w:rPr>
              <w:t xml:space="preserve"> the applicant uses to address item requirements or and </w:t>
            </w:r>
            <w:r w:rsidRPr="00431541">
              <w:rPr>
                <w:b/>
                <w:sz w:val="22"/>
                <w:szCs w:val="22"/>
              </w:rPr>
              <w:t>gaps</w:t>
            </w:r>
            <w:r w:rsidRPr="00431541">
              <w:rPr>
                <w:sz w:val="22"/>
                <w:szCs w:val="22"/>
              </w:rPr>
              <w:t xml:space="preserve"> between the Criteria and the applicant’s response.  For </w:t>
            </w:r>
            <w:r w:rsidRPr="00431541">
              <w:rPr>
                <w:b/>
                <w:sz w:val="22"/>
                <w:szCs w:val="22"/>
              </w:rPr>
              <w:t>results items</w:t>
            </w:r>
            <w:r w:rsidRPr="00431541">
              <w:rPr>
                <w:sz w:val="22"/>
                <w:szCs w:val="22"/>
              </w:rPr>
              <w:t xml:space="preserve"> (Category 7), fill out the appropriate </w:t>
            </w:r>
            <w:r w:rsidRPr="00431541">
              <w:rPr>
                <w:b/>
                <w:sz w:val="22"/>
                <w:szCs w:val="22"/>
              </w:rPr>
              <w:t>results</w:t>
            </w:r>
            <w:r w:rsidRPr="00431541">
              <w:rPr>
                <w:sz w:val="22"/>
                <w:szCs w:val="22"/>
              </w:rPr>
              <w:t xml:space="preserve"> </w:t>
            </w:r>
            <w:r w:rsidRPr="00431541">
              <w:rPr>
                <w:b/>
                <w:sz w:val="22"/>
                <w:szCs w:val="22"/>
              </w:rPr>
              <w:t>matrix</w:t>
            </w:r>
            <w:r w:rsidRPr="00431541">
              <w:rPr>
                <w:sz w:val="22"/>
                <w:szCs w:val="22"/>
              </w:rPr>
              <w:t xml:space="preserve"> using the color coding to identify strengths and gaps. </w:t>
            </w:r>
          </w:p>
          <w:p w:rsidR="006449B0" w:rsidRPr="00431541" w:rsidRDefault="006449B0" w:rsidP="006449B0">
            <w:pPr>
              <w:pStyle w:val="ListParagraph"/>
              <w:spacing w:after="240"/>
              <w:ind w:left="342"/>
              <w:rPr>
                <w:sz w:val="22"/>
                <w:szCs w:val="22"/>
              </w:rPr>
            </w:pPr>
          </w:p>
          <w:p w:rsidR="006449B0" w:rsidRPr="00431541" w:rsidRDefault="006449B0" w:rsidP="006449B0">
            <w:pPr>
              <w:pStyle w:val="ListParagraph"/>
              <w:numPr>
                <w:ilvl w:val="0"/>
                <w:numId w:val="8"/>
              </w:numPr>
              <w:spacing w:after="240"/>
              <w:ind w:left="432"/>
              <w:rPr>
                <w:b/>
                <w:sz w:val="22"/>
                <w:szCs w:val="22"/>
              </w:rPr>
            </w:pPr>
            <w:r w:rsidRPr="00431541">
              <w:rPr>
                <w:b/>
                <w:sz w:val="22"/>
                <w:szCs w:val="22"/>
                <w:u w:val="single"/>
              </w:rPr>
              <w:t>Analyze the applicant’s processes and results using evaluation factors.</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tblGrid>
            <w:tr w:rsidR="006449B0" w:rsidRPr="00431541" w:rsidTr="00391CC1">
              <w:tc>
                <w:tcPr>
                  <w:tcW w:w="2695" w:type="dxa"/>
                </w:tcPr>
                <w:p w:rsidR="006449B0" w:rsidRPr="00431541" w:rsidRDefault="006449B0" w:rsidP="006449B0">
                  <w:pPr>
                    <w:pStyle w:val="Default"/>
                    <w:tabs>
                      <w:tab w:val="left" w:pos="3913"/>
                    </w:tabs>
                    <w:rPr>
                      <w:rFonts w:ascii="Arial" w:hAnsi="Arial" w:cs="Arial"/>
                      <w:sz w:val="22"/>
                      <w:szCs w:val="22"/>
                    </w:rPr>
                  </w:pPr>
                  <w:r w:rsidRPr="00431541">
                    <w:rPr>
                      <w:rFonts w:ascii="Arial" w:hAnsi="Arial" w:cs="Arial"/>
                      <w:b/>
                      <w:bCs/>
                      <w:sz w:val="22"/>
                      <w:szCs w:val="22"/>
                    </w:rPr>
                    <w:t>Processes (A-D-L-I)</w:t>
                  </w:r>
                </w:p>
                <w:p w:rsidR="006449B0" w:rsidRPr="00431541" w:rsidRDefault="006449B0" w:rsidP="006449B0">
                  <w:pPr>
                    <w:pStyle w:val="Default"/>
                    <w:rPr>
                      <w:rFonts w:ascii="Arial" w:hAnsi="Arial" w:cs="Arial"/>
                      <w:sz w:val="22"/>
                      <w:szCs w:val="22"/>
                    </w:rPr>
                  </w:pPr>
                  <w:r w:rsidRPr="00431541">
                    <w:rPr>
                      <w:rFonts w:ascii="Arial" w:hAnsi="Arial" w:cs="Arial"/>
                      <w:sz w:val="22"/>
                      <w:szCs w:val="22"/>
                    </w:rPr>
                    <w:t xml:space="preserve">Evaluate the </w:t>
                  </w:r>
                  <w:r w:rsidRPr="00431541">
                    <w:rPr>
                      <w:rFonts w:ascii="Arial" w:hAnsi="Arial" w:cs="Arial"/>
                      <w:b/>
                      <w:bCs/>
                      <w:sz w:val="22"/>
                      <w:szCs w:val="22"/>
                    </w:rPr>
                    <w:t xml:space="preserve">processes </w:t>
                  </w:r>
                  <w:r w:rsidRPr="00431541">
                    <w:rPr>
                      <w:rFonts w:ascii="Arial" w:hAnsi="Arial" w:cs="Arial"/>
                      <w:sz w:val="22"/>
                      <w:szCs w:val="22"/>
                    </w:rPr>
                    <w:t xml:space="preserve">you have identified in the application using the process evaluation factors: </w:t>
                  </w:r>
                </w:p>
              </w:tc>
            </w:tr>
          </w:tbl>
          <w:p w:rsidR="006449B0" w:rsidRPr="00431541" w:rsidRDefault="006449B0" w:rsidP="006449B0">
            <w:pPr>
              <w:pStyle w:val="Default"/>
              <w:rPr>
                <w:rFonts w:ascii="Arial" w:hAnsi="Arial" w:cs="Arial"/>
                <w:sz w:val="22"/>
                <w:szCs w:val="22"/>
              </w:rPr>
            </w:pPr>
          </w:p>
          <w:p w:rsidR="006449B0" w:rsidRPr="00431541" w:rsidRDefault="006449B0" w:rsidP="006449B0">
            <w:pPr>
              <w:pStyle w:val="Default"/>
              <w:numPr>
                <w:ilvl w:val="0"/>
                <w:numId w:val="13"/>
              </w:numPr>
              <w:ind w:left="458"/>
              <w:rPr>
                <w:rFonts w:ascii="Arial" w:hAnsi="Arial" w:cs="Arial"/>
                <w:sz w:val="22"/>
                <w:szCs w:val="22"/>
              </w:rPr>
            </w:pPr>
            <w:r w:rsidRPr="00431541">
              <w:rPr>
                <w:rFonts w:ascii="Arial" w:hAnsi="Arial" w:cs="Arial"/>
                <w:sz w:val="22"/>
                <w:szCs w:val="22"/>
              </w:rPr>
              <w:t xml:space="preserve">Evaluate the applicant’s </w:t>
            </w:r>
            <w:r w:rsidRPr="00431541">
              <w:rPr>
                <w:rFonts w:ascii="Arial" w:hAnsi="Arial" w:cs="Arial"/>
                <w:b/>
                <w:bCs/>
                <w:i/>
                <w:iCs/>
                <w:sz w:val="22"/>
                <w:szCs w:val="22"/>
              </w:rPr>
              <w:t xml:space="preserve">Approach (A) </w:t>
            </w:r>
            <w:r w:rsidRPr="00431541">
              <w:rPr>
                <w:rFonts w:ascii="Arial" w:hAnsi="Arial" w:cs="Arial"/>
                <w:sz w:val="22"/>
                <w:szCs w:val="22"/>
              </w:rPr>
              <w:t xml:space="preserve">by considering whether the applicant’s process is appropriate, effective, and systematic (well-ordered, repeatable, and uses data). </w:t>
            </w:r>
          </w:p>
          <w:p w:rsidR="006449B0" w:rsidRPr="00431541" w:rsidRDefault="006449B0" w:rsidP="006449B0">
            <w:pPr>
              <w:pStyle w:val="Default"/>
              <w:numPr>
                <w:ilvl w:val="0"/>
                <w:numId w:val="13"/>
              </w:numPr>
              <w:ind w:left="458"/>
              <w:rPr>
                <w:rFonts w:ascii="Arial" w:hAnsi="Arial" w:cs="Arial"/>
                <w:sz w:val="22"/>
                <w:szCs w:val="22"/>
              </w:rPr>
            </w:pPr>
            <w:r w:rsidRPr="00431541">
              <w:rPr>
                <w:rFonts w:ascii="Arial" w:hAnsi="Arial" w:cs="Arial"/>
                <w:sz w:val="22"/>
                <w:szCs w:val="22"/>
              </w:rPr>
              <w:t xml:space="preserve">Evaluate the extent of the applicant’s </w:t>
            </w:r>
            <w:r w:rsidRPr="00431541">
              <w:rPr>
                <w:rFonts w:ascii="Arial" w:hAnsi="Arial" w:cs="Arial"/>
                <w:b/>
                <w:bCs/>
                <w:i/>
                <w:iCs/>
                <w:sz w:val="22"/>
                <w:szCs w:val="22"/>
              </w:rPr>
              <w:t xml:space="preserve">Deployment (D) </w:t>
            </w:r>
            <w:r w:rsidRPr="00431541">
              <w:rPr>
                <w:rFonts w:ascii="Arial" w:hAnsi="Arial" w:cs="Arial"/>
                <w:sz w:val="22"/>
                <w:szCs w:val="22"/>
              </w:rPr>
              <w:t xml:space="preserve">by considering whether the approach you identified is applied consistently and by the appropriate work units. </w:t>
            </w:r>
          </w:p>
          <w:p w:rsidR="006449B0" w:rsidRPr="00431541" w:rsidRDefault="006449B0" w:rsidP="006449B0">
            <w:pPr>
              <w:pStyle w:val="Default"/>
              <w:numPr>
                <w:ilvl w:val="0"/>
                <w:numId w:val="13"/>
              </w:numPr>
              <w:ind w:left="458"/>
              <w:rPr>
                <w:rFonts w:ascii="Arial" w:hAnsi="Arial" w:cs="Arial"/>
                <w:sz w:val="22"/>
                <w:szCs w:val="22"/>
              </w:rPr>
            </w:pPr>
            <w:r w:rsidRPr="00431541">
              <w:rPr>
                <w:rFonts w:ascii="Arial" w:hAnsi="Arial" w:cs="Arial"/>
                <w:sz w:val="22"/>
                <w:szCs w:val="22"/>
              </w:rPr>
              <w:t xml:space="preserve">Evaluate the applicant’s cycles of </w:t>
            </w:r>
            <w:r w:rsidRPr="00431541">
              <w:rPr>
                <w:rFonts w:ascii="Arial" w:hAnsi="Arial" w:cs="Arial"/>
                <w:b/>
                <w:bCs/>
                <w:i/>
                <w:iCs/>
                <w:sz w:val="22"/>
                <w:szCs w:val="22"/>
              </w:rPr>
              <w:t xml:space="preserve">Learning (L) </w:t>
            </w:r>
            <w:r w:rsidRPr="00431541">
              <w:rPr>
                <w:rFonts w:ascii="Arial" w:hAnsi="Arial" w:cs="Arial"/>
                <w:sz w:val="22"/>
                <w:szCs w:val="22"/>
              </w:rPr>
              <w:t xml:space="preserve">by considering how the approach has been refined or improved, how it encourages innovation, and whether improvements are shared across other work units and processes. </w:t>
            </w:r>
          </w:p>
          <w:p w:rsidR="006449B0" w:rsidRPr="00431541" w:rsidRDefault="006449B0" w:rsidP="006449B0">
            <w:pPr>
              <w:pStyle w:val="Default"/>
              <w:numPr>
                <w:ilvl w:val="0"/>
                <w:numId w:val="13"/>
              </w:numPr>
              <w:ind w:left="458"/>
              <w:rPr>
                <w:rFonts w:ascii="Arial" w:hAnsi="Arial" w:cs="Arial"/>
                <w:sz w:val="22"/>
                <w:szCs w:val="22"/>
              </w:rPr>
            </w:pPr>
            <w:r w:rsidRPr="00431541">
              <w:rPr>
                <w:rFonts w:ascii="Arial" w:hAnsi="Arial" w:cs="Arial"/>
                <w:sz w:val="22"/>
                <w:szCs w:val="22"/>
              </w:rPr>
              <w:t xml:space="preserve">Evaluate the extent of the applicant’s </w:t>
            </w:r>
            <w:r w:rsidRPr="00431541">
              <w:rPr>
                <w:rFonts w:ascii="Arial" w:hAnsi="Arial" w:cs="Arial"/>
                <w:b/>
                <w:bCs/>
                <w:i/>
                <w:iCs/>
                <w:sz w:val="22"/>
                <w:szCs w:val="22"/>
              </w:rPr>
              <w:t xml:space="preserve">Integration (I) </w:t>
            </w:r>
            <w:r w:rsidRPr="00431541">
              <w:rPr>
                <w:rFonts w:ascii="Arial" w:hAnsi="Arial" w:cs="Arial"/>
                <w:sz w:val="22"/>
                <w:szCs w:val="22"/>
              </w:rPr>
              <w:t xml:space="preserve">by considering whether the approach you identified is aligned with the organization’s needs identified in the Org. Profile and how the process interacts with the applicant’s other processes (e.g. Have the correct measures been chosen? Does this approach provide output or data that should be used by another process?). </w:t>
            </w:r>
          </w:p>
          <w:p w:rsidR="006449B0" w:rsidRPr="00431541" w:rsidRDefault="006449B0" w:rsidP="006449B0">
            <w:pPr>
              <w:pStyle w:val="Default"/>
              <w:rPr>
                <w:rFonts w:ascii="Arial" w:hAnsi="Arial" w:cs="Arial"/>
                <w:sz w:val="22"/>
                <w:szCs w:val="22"/>
              </w:rPr>
            </w:pPr>
          </w:p>
          <w:p w:rsidR="006449B0" w:rsidRPr="00431541" w:rsidRDefault="006449B0" w:rsidP="006449B0">
            <w:pPr>
              <w:pStyle w:val="Default"/>
              <w:rPr>
                <w:rFonts w:ascii="Arial" w:hAnsi="Arial" w:cs="Arial"/>
                <w:sz w:val="22"/>
                <w:szCs w:val="22"/>
              </w:rPr>
            </w:pPr>
            <w:r w:rsidRPr="00431541">
              <w:rPr>
                <w:rFonts w:ascii="Arial" w:hAnsi="Arial" w:cs="Arial"/>
                <w:b/>
                <w:bCs/>
                <w:sz w:val="22"/>
                <w:szCs w:val="22"/>
              </w:rPr>
              <w:t xml:space="preserve">Results (Le-T-C-I) </w:t>
            </w:r>
          </w:p>
          <w:p w:rsidR="006449B0" w:rsidRPr="00431541" w:rsidRDefault="006449B0" w:rsidP="006449B0">
            <w:pPr>
              <w:pStyle w:val="Default"/>
              <w:rPr>
                <w:rFonts w:ascii="Arial" w:hAnsi="Arial" w:cs="Arial"/>
                <w:sz w:val="22"/>
                <w:szCs w:val="22"/>
              </w:rPr>
            </w:pPr>
            <w:r w:rsidRPr="00431541">
              <w:rPr>
                <w:rFonts w:ascii="Arial" w:hAnsi="Arial" w:cs="Arial"/>
                <w:sz w:val="22"/>
                <w:szCs w:val="22"/>
              </w:rPr>
              <w:t xml:space="preserve">Evaluate the </w:t>
            </w:r>
            <w:r w:rsidRPr="00431541">
              <w:rPr>
                <w:rFonts w:ascii="Arial" w:hAnsi="Arial" w:cs="Arial"/>
                <w:b/>
                <w:sz w:val="22"/>
                <w:szCs w:val="22"/>
              </w:rPr>
              <w:t>result</w:t>
            </w:r>
            <w:r w:rsidRPr="00431541">
              <w:rPr>
                <w:rFonts w:ascii="Arial" w:hAnsi="Arial" w:cs="Arial"/>
                <w:b/>
                <w:bCs/>
                <w:sz w:val="22"/>
                <w:szCs w:val="22"/>
              </w:rPr>
              <w:t xml:space="preserve">s </w:t>
            </w:r>
            <w:r w:rsidRPr="00431541">
              <w:rPr>
                <w:rFonts w:ascii="Arial" w:hAnsi="Arial" w:cs="Arial"/>
                <w:sz w:val="22"/>
                <w:szCs w:val="22"/>
              </w:rPr>
              <w:t xml:space="preserve">you have identified in the application using the process evaluation factors: </w:t>
            </w:r>
          </w:p>
          <w:p w:rsidR="006449B0" w:rsidRPr="00431541" w:rsidRDefault="006449B0" w:rsidP="006449B0">
            <w:pPr>
              <w:pStyle w:val="Default"/>
              <w:rPr>
                <w:rFonts w:ascii="Arial" w:hAnsi="Arial" w:cs="Arial"/>
                <w:sz w:val="22"/>
                <w:szCs w:val="22"/>
              </w:rPr>
            </w:pPr>
          </w:p>
          <w:p w:rsidR="006449B0" w:rsidRPr="00431541" w:rsidRDefault="006449B0" w:rsidP="006449B0">
            <w:pPr>
              <w:pStyle w:val="Default"/>
              <w:numPr>
                <w:ilvl w:val="0"/>
                <w:numId w:val="14"/>
              </w:numPr>
              <w:ind w:left="425"/>
              <w:rPr>
                <w:rFonts w:ascii="Arial" w:hAnsi="Arial" w:cs="Arial"/>
                <w:sz w:val="22"/>
                <w:szCs w:val="22"/>
              </w:rPr>
            </w:pPr>
            <w:r w:rsidRPr="00431541">
              <w:rPr>
                <w:rFonts w:ascii="Arial" w:hAnsi="Arial" w:cs="Arial"/>
                <w:sz w:val="22"/>
                <w:szCs w:val="22"/>
              </w:rPr>
              <w:t xml:space="preserve">Evaluate the applicant’s </w:t>
            </w:r>
            <w:r w:rsidRPr="00431541">
              <w:rPr>
                <w:rFonts w:ascii="Arial" w:hAnsi="Arial" w:cs="Arial"/>
                <w:b/>
                <w:i/>
                <w:sz w:val="22"/>
                <w:szCs w:val="22"/>
              </w:rPr>
              <w:t>Performance Levels (Le)</w:t>
            </w:r>
            <w:r w:rsidRPr="00431541">
              <w:rPr>
                <w:rFonts w:ascii="Arial" w:hAnsi="Arial" w:cs="Arial"/>
                <w:sz w:val="22"/>
                <w:szCs w:val="22"/>
              </w:rPr>
              <w:t xml:space="preserve"> by considering its current performance on a meaningful measurement scale.  Performance levels permit evaluation relative to past performance, projections, goals and appropriate comparisons.</w:t>
            </w:r>
          </w:p>
          <w:p w:rsidR="006449B0" w:rsidRPr="00431541" w:rsidRDefault="006449B0" w:rsidP="006449B0">
            <w:pPr>
              <w:pStyle w:val="Default"/>
              <w:numPr>
                <w:ilvl w:val="0"/>
                <w:numId w:val="14"/>
              </w:numPr>
              <w:ind w:left="425"/>
              <w:rPr>
                <w:rFonts w:ascii="Arial" w:hAnsi="Arial" w:cs="Arial"/>
                <w:sz w:val="22"/>
                <w:szCs w:val="22"/>
              </w:rPr>
            </w:pPr>
            <w:r w:rsidRPr="00431541">
              <w:rPr>
                <w:rFonts w:ascii="Arial" w:hAnsi="Arial" w:cs="Arial"/>
                <w:sz w:val="22"/>
                <w:szCs w:val="22"/>
              </w:rPr>
              <w:t xml:space="preserve">Evaluate the applicant’s </w:t>
            </w:r>
            <w:r w:rsidRPr="00431541">
              <w:rPr>
                <w:rFonts w:ascii="Arial" w:hAnsi="Arial" w:cs="Arial"/>
                <w:b/>
                <w:i/>
                <w:sz w:val="22"/>
                <w:szCs w:val="22"/>
              </w:rPr>
              <w:t>Performance Trends (T)</w:t>
            </w:r>
            <w:r w:rsidRPr="00431541">
              <w:rPr>
                <w:rFonts w:ascii="Arial" w:hAnsi="Arial" w:cs="Arial"/>
                <w:sz w:val="22"/>
                <w:szCs w:val="22"/>
              </w:rPr>
              <w:t xml:space="preserve"> by considering the direction and rate of change of its results.  Generally, a minimum of three historical data points is needed to begin to ascertain a trend.</w:t>
            </w:r>
          </w:p>
          <w:p w:rsidR="006449B0" w:rsidRPr="00431541" w:rsidRDefault="006449B0" w:rsidP="006449B0">
            <w:pPr>
              <w:pStyle w:val="Default"/>
              <w:numPr>
                <w:ilvl w:val="0"/>
                <w:numId w:val="14"/>
              </w:numPr>
              <w:ind w:left="425"/>
              <w:rPr>
                <w:rFonts w:ascii="Arial" w:hAnsi="Arial" w:cs="Arial"/>
                <w:sz w:val="22"/>
                <w:szCs w:val="22"/>
              </w:rPr>
            </w:pPr>
            <w:r w:rsidRPr="00431541">
              <w:rPr>
                <w:rFonts w:ascii="Arial" w:hAnsi="Arial" w:cs="Arial"/>
                <w:sz w:val="22"/>
                <w:szCs w:val="22"/>
              </w:rPr>
              <w:t xml:space="preserve">Evaluate the applicant’s </w:t>
            </w:r>
            <w:r w:rsidRPr="00431541">
              <w:rPr>
                <w:rFonts w:ascii="Arial" w:hAnsi="Arial" w:cs="Arial"/>
                <w:b/>
                <w:i/>
                <w:sz w:val="22"/>
                <w:szCs w:val="22"/>
              </w:rPr>
              <w:t>Comparisons (</w:t>
            </w:r>
            <w:proofErr w:type="gramStart"/>
            <w:r w:rsidRPr="00431541">
              <w:rPr>
                <w:rFonts w:ascii="Arial" w:hAnsi="Arial" w:cs="Arial"/>
                <w:b/>
                <w:i/>
                <w:sz w:val="22"/>
                <w:szCs w:val="22"/>
              </w:rPr>
              <w:t>C )</w:t>
            </w:r>
            <w:proofErr w:type="gramEnd"/>
            <w:r w:rsidRPr="00431541">
              <w:rPr>
                <w:rFonts w:ascii="Arial" w:hAnsi="Arial" w:cs="Arial"/>
                <w:b/>
                <w:i/>
                <w:sz w:val="22"/>
                <w:szCs w:val="22"/>
              </w:rPr>
              <w:t xml:space="preserve"> </w:t>
            </w:r>
            <w:r w:rsidRPr="00431541">
              <w:rPr>
                <w:rFonts w:ascii="Arial" w:hAnsi="Arial" w:cs="Arial"/>
                <w:sz w:val="22"/>
                <w:szCs w:val="22"/>
              </w:rPr>
              <w:t xml:space="preserve"> by considering its performance relative to its </w:t>
            </w:r>
            <w:r w:rsidR="00A271DB" w:rsidRPr="00431541">
              <w:rPr>
                <w:rFonts w:ascii="Arial" w:hAnsi="Arial" w:cs="Arial"/>
                <w:sz w:val="22"/>
                <w:szCs w:val="22"/>
              </w:rPr>
              <w:t>competitors</w:t>
            </w:r>
            <w:r w:rsidRPr="00431541">
              <w:rPr>
                <w:rFonts w:ascii="Arial" w:hAnsi="Arial" w:cs="Arial"/>
                <w:sz w:val="22"/>
                <w:szCs w:val="22"/>
              </w:rPr>
              <w:t>, organizations providing similar products and services, industry averages, or best-in-class organizations.  The maturity of the organization sho</w:t>
            </w:r>
            <w:r w:rsidR="00A271DB" w:rsidRPr="00431541">
              <w:rPr>
                <w:rFonts w:ascii="Arial" w:hAnsi="Arial" w:cs="Arial"/>
                <w:sz w:val="22"/>
                <w:szCs w:val="22"/>
              </w:rPr>
              <w:t>u</w:t>
            </w:r>
            <w:r w:rsidRPr="00431541">
              <w:rPr>
                <w:rFonts w:ascii="Arial" w:hAnsi="Arial" w:cs="Arial"/>
                <w:sz w:val="22"/>
                <w:szCs w:val="22"/>
              </w:rPr>
              <w:t>ld help determine which comparisons are most relevant.</w:t>
            </w:r>
          </w:p>
          <w:p w:rsidR="00A271DB" w:rsidRPr="00431541" w:rsidRDefault="00A271DB" w:rsidP="006449B0">
            <w:pPr>
              <w:pStyle w:val="Default"/>
              <w:numPr>
                <w:ilvl w:val="0"/>
                <w:numId w:val="14"/>
              </w:numPr>
              <w:ind w:left="425"/>
              <w:rPr>
                <w:rFonts w:ascii="Arial" w:hAnsi="Arial" w:cs="Arial"/>
                <w:sz w:val="22"/>
                <w:szCs w:val="22"/>
              </w:rPr>
            </w:pPr>
            <w:r w:rsidRPr="00431541">
              <w:rPr>
                <w:rFonts w:ascii="Arial" w:hAnsi="Arial" w:cs="Arial"/>
                <w:sz w:val="22"/>
                <w:szCs w:val="22"/>
              </w:rPr>
              <w:t xml:space="preserve">Evaluate the extent of the applicant’s </w:t>
            </w:r>
            <w:r w:rsidRPr="00431541">
              <w:rPr>
                <w:rFonts w:ascii="Arial" w:hAnsi="Arial" w:cs="Arial"/>
                <w:b/>
                <w:i/>
                <w:sz w:val="22"/>
                <w:szCs w:val="22"/>
              </w:rPr>
              <w:t>Integration (I)</w:t>
            </w:r>
            <w:r w:rsidRPr="00431541">
              <w:rPr>
                <w:rFonts w:ascii="Arial" w:hAnsi="Arial" w:cs="Arial"/>
                <w:sz w:val="22"/>
                <w:szCs w:val="22"/>
              </w:rPr>
              <w:t xml:space="preserve"> by considering which results measures address important customer, product/service, market, and action plan performance requirements identified in the Org. Profile and in process items; include valid indicators of future performance; and are harmonized across process and work units to support the organization-wide goals.</w:t>
            </w:r>
          </w:p>
          <w:p w:rsidR="00A271DB" w:rsidRPr="00431541" w:rsidRDefault="00A271DB" w:rsidP="00A271DB">
            <w:pPr>
              <w:pStyle w:val="Default"/>
              <w:ind w:left="425"/>
              <w:rPr>
                <w:rFonts w:ascii="Arial" w:hAnsi="Arial" w:cs="Arial"/>
                <w:sz w:val="22"/>
                <w:szCs w:val="22"/>
              </w:rPr>
            </w:pPr>
            <w:r w:rsidRPr="00431541">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791BD35E" wp14:editId="3B88B290">
                      <wp:simplePos x="0" y="0"/>
                      <wp:positionH relativeFrom="column">
                        <wp:posOffset>193675</wp:posOffset>
                      </wp:positionH>
                      <wp:positionV relativeFrom="paragraph">
                        <wp:posOffset>156210</wp:posOffset>
                      </wp:positionV>
                      <wp:extent cx="4015740" cy="388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740" cy="388620"/>
                              </a:xfrm>
                              <a:prstGeom prst="rect">
                                <a:avLst/>
                              </a:prstGeom>
                              <a:solidFill>
                                <a:srgbClr val="FFFFFF"/>
                              </a:solidFill>
                              <a:ln w="9525">
                                <a:solidFill>
                                  <a:srgbClr val="000000"/>
                                </a:solidFill>
                                <a:miter lim="800000"/>
                                <a:headEnd/>
                                <a:tailEnd/>
                              </a:ln>
                            </wps:spPr>
                            <wps:txbx>
                              <w:txbxContent>
                                <w:p w:rsidR="00A271DB" w:rsidRPr="00A271DB" w:rsidRDefault="00A271DB">
                                  <w:pPr>
                                    <w:rPr>
                                      <w:i/>
                                      <w:sz w:val="18"/>
                                    </w:rPr>
                                  </w:pPr>
                                  <w:r w:rsidRPr="00A271DB">
                                    <w:rPr>
                                      <w:b/>
                                      <w:i/>
                                      <w:sz w:val="18"/>
                                    </w:rPr>
                                    <w:t>Tip:</w:t>
                                  </w:r>
                                  <w:r w:rsidRPr="00A271DB">
                                    <w:rPr>
                                      <w:sz w:val="18"/>
                                    </w:rPr>
                                    <w:t xml:space="preserve"> </w:t>
                                  </w:r>
                                  <w:r w:rsidRPr="00A271DB">
                                    <w:rPr>
                                      <w:i/>
                                      <w:sz w:val="18"/>
                                    </w:rPr>
                                    <w:t xml:space="preserve">Review the </w:t>
                                  </w:r>
                                  <w:r w:rsidRPr="00A271DB">
                                    <w:rPr>
                                      <w:b/>
                                      <w:i/>
                                      <w:sz w:val="18"/>
                                    </w:rPr>
                                    <w:t xml:space="preserve">Process &amp; Results Item Evaluation Factors </w:t>
                                  </w:r>
                                  <w:r w:rsidRPr="00A271DB">
                                    <w:rPr>
                                      <w:i/>
                                      <w:sz w:val="18"/>
                                    </w:rPr>
                                    <w:t xml:space="preserve">documents on the Examiner Resources page of </w:t>
                                  </w:r>
                                  <w:proofErr w:type="spellStart"/>
                                  <w:r w:rsidRPr="00A271DB">
                                    <w:rPr>
                                      <w:i/>
                                      <w:sz w:val="18"/>
                                    </w:rPr>
                                    <w:t>KyCPE’s</w:t>
                                  </w:r>
                                  <w:proofErr w:type="spellEnd"/>
                                  <w:r w:rsidRPr="00A271DB">
                                    <w:rPr>
                                      <w:i/>
                                      <w:sz w:val="18"/>
                                    </w:rPr>
                                    <w:t xml:space="preserve">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1BD35E" id="_x0000_t202" coordsize="21600,21600" o:spt="202" path="m,l,21600r21600,l21600,xe">
                      <v:stroke joinstyle="miter"/>
                      <v:path gradientshapeok="t" o:connecttype="rect"/>
                    </v:shapetype>
                    <v:shape id="Text Box 2" o:spid="_x0000_s1026" type="#_x0000_t202" style="position:absolute;left:0;text-align:left;margin-left:15.25pt;margin-top:12.3pt;width:316.2pt;height:3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wn/JAIAAEY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">
                      <v:textbox>
                        <w:txbxContent>
                          <w:p w:rsidR="00A271DB" w:rsidRPr="00A271DB" w:rsidRDefault="00A271DB">
                            <w:pPr>
                              <w:rPr>
                                <w:i/>
                                <w:sz w:val="18"/>
                              </w:rPr>
                            </w:pPr>
                            <w:r w:rsidRPr="00A271DB">
                              <w:rPr>
                                <w:b/>
                                <w:i/>
                                <w:sz w:val="18"/>
                              </w:rPr>
                              <w:t>Tip:</w:t>
                            </w:r>
                            <w:r w:rsidRPr="00A271DB">
                              <w:rPr>
                                <w:sz w:val="18"/>
                              </w:rPr>
                              <w:t xml:space="preserve"> </w:t>
                            </w:r>
                            <w:r w:rsidRPr="00A271DB">
                              <w:rPr>
                                <w:i/>
                                <w:sz w:val="18"/>
                              </w:rPr>
                              <w:t xml:space="preserve">Review the </w:t>
                            </w:r>
                            <w:r w:rsidRPr="00A271DB">
                              <w:rPr>
                                <w:b/>
                                <w:i/>
                                <w:sz w:val="18"/>
                              </w:rPr>
                              <w:t xml:space="preserve">Process &amp; Results Item Evaluation Factors </w:t>
                            </w:r>
                            <w:r w:rsidRPr="00A271DB">
                              <w:rPr>
                                <w:i/>
                                <w:sz w:val="18"/>
                              </w:rPr>
                              <w:t xml:space="preserve">documents on the Examiner Resources page of </w:t>
                            </w:r>
                            <w:proofErr w:type="spellStart"/>
                            <w:r w:rsidRPr="00A271DB">
                              <w:rPr>
                                <w:i/>
                                <w:sz w:val="18"/>
                              </w:rPr>
                              <w:t>KyCPE’s</w:t>
                            </w:r>
                            <w:proofErr w:type="spellEnd"/>
                            <w:r w:rsidRPr="00A271DB">
                              <w:rPr>
                                <w:i/>
                                <w:sz w:val="18"/>
                              </w:rPr>
                              <w:t xml:space="preserve"> website.</w:t>
                            </w:r>
                          </w:p>
                        </w:txbxContent>
                      </v:textbox>
                      <w10:wrap type="square"/>
                    </v:shape>
                  </w:pict>
                </mc:Fallback>
              </mc:AlternateContent>
            </w:r>
          </w:p>
          <w:p w:rsidR="006449B0" w:rsidRPr="00431541" w:rsidRDefault="006449B0" w:rsidP="006449B0">
            <w:pPr>
              <w:pStyle w:val="Default"/>
              <w:rPr>
                <w:rFonts w:ascii="Arial" w:hAnsi="Arial" w:cs="Arial"/>
                <w:sz w:val="22"/>
                <w:szCs w:val="22"/>
              </w:rPr>
            </w:pPr>
          </w:p>
          <w:p w:rsidR="006449B0" w:rsidRDefault="006449B0" w:rsidP="006449B0">
            <w:pPr>
              <w:pStyle w:val="Default"/>
              <w:rPr>
                <w:rFonts w:ascii="Arial" w:hAnsi="Arial" w:cs="Arial"/>
                <w:sz w:val="22"/>
                <w:szCs w:val="22"/>
              </w:rPr>
            </w:pPr>
          </w:p>
          <w:p w:rsidR="00431541" w:rsidRPr="00431541" w:rsidRDefault="00431541" w:rsidP="006449B0">
            <w:pPr>
              <w:pStyle w:val="Default"/>
              <w:rPr>
                <w:rFonts w:ascii="Arial" w:hAnsi="Arial" w:cs="Arial"/>
                <w:sz w:val="22"/>
                <w:szCs w:val="22"/>
              </w:rPr>
            </w:pPr>
          </w:p>
          <w:p w:rsidR="006449B0" w:rsidRPr="00431541" w:rsidRDefault="006449B0" w:rsidP="006449B0">
            <w:pPr>
              <w:pStyle w:val="Default"/>
              <w:rPr>
                <w:rFonts w:ascii="Arial" w:hAnsi="Arial" w:cs="Arial"/>
                <w:sz w:val="22"/>
                <w:szCs w:val="22"/>
              </w:rPr>
            </w:pPr>
          </w:p>
          <w:p w:rsidR="00A271DB" w:rsidRPr="00431541" w:rsidRDefault="00A271DB" w:rsidP="00A271DB">
            <w:pPr>
              <w:pStyle w:val="Default"/>
              <w:numPr>
                <w:ilvl w:val="0"/>
                <w:numId w:val="8"/>
              </w:numPr>
              <w:ind w:left="335"/>
              <w:rPr>
                <w:rFonts w:ascii="Arial" w:hAnsi="Arial" w:cs="Arial"/>
                <w:b/>
                <w:sz w:val="22"/>
                <w:szCs w:val="22"/>
              </w:rPr>
            </w:pPr>
            <w:r w:rsidRPr="00431541">
              <w:rPr>
                <w:rFonts w:ascii="Arial" w:hAnsi="Arial" w:cs="Arial"/>
                <w:b/>
                <w:sz w:val="22"/>
                <w:szCs w:val="22"/>
                <w:u w:val="single"/>
              </w:rPr>
              <w:t>Write 6 – 10 strength and OFI observations for the item</w:t>
            </w:r>
          </w:p>
          <w:p w:rsidR="00A271DB" w:rsidRPr="00431541" w:rsidRDefault="00A271DB" w:rsidP="00A271DB">
            <w:pPr>
              <w:pStyle w:val="Default"/>
              <w:ind w:left="335"/>
              <w:rPr>
                <w:rFonts w:ascii="Arial" w:hAnsi="Arial" w:cs="Arial"/>
                <w:sz w:val="22"/>
                <w:szCs w:val="22"/>
              </w:rPr>
            </w:pPr>
          </w:p>
          <w:p w:rsidR="00A271DB" w:rsidRPr="00431541" w:rsidRDefault="00A271DB" w:rsidP="00A271DB">
            <w:pPr>
              <w:pStyle w:val="Default"/>
              <w:ind w:left="335"/>
              <w:rPr>
                <w:rFonts w:ascii="Arial" w:hAnsi="Arial" w:cs="Arial"/>
                <w:sz w:val="22"/>
                <w:szCs w:val="22"/>
              </w:rPr>
            </w:pPr>
            <w:r w:rsidRPr="00431541">
              <w:rPr>
                <w:rFonts w:ascii="Arial" w:hAnsi="Arial" w:cs="Arial"/>
                <w:sz w:val="22"/>
                <w:szCs w:val="22"/>
              </w:rPr>
              <w:t>Based on your analysis, identify the 6 – 10 most critical strengths and OFIs for the applicant and document them in the appropriate Item Worksheet.</w:t>
            </w:r>
          </w:p>
          <w:p w:rsidR="00431541" w:rsidRPr="00431541" w:rsidRDefault="00431541" w:rsidP="00431541">
            <w:pPr>
              <w:pStyle w:val="Default"/>
              <w:rPr>
                <w:rFonts w:ascii="Arial" w:hAnsi="Arial" w:cs="Arial"/>
                <w:color w:val="auto"/>
                <w:sz w:val="22"/>
                <w:szCs w:val="22"/>
              </w:rPr>
            </w:pPr>
          </w:p>
          <w:p w:rsidR="00431541" w:rsidRPr="00431541" w:rsidRDefault="00431541" w:rsidP="00431541">
            <w:pPr>
              <w:pStyle w:val="Default"/>
              <w:numPr>
                <w:ilvl w:val="0"/>
                <w:numId w:val="16"/>
              </w:numPr>
              <w:rPr>
                <w:rFonts w:ascii="Arial" w:hAnsi="Arial" w:cs="Arial"/>
                <w:sz w:val="22"/>
                <w:szCs w:val="22"/>
              </w:rPr>
            </w:pPr>
            <w:r w:rsidRPr="00431541">
              <w:rPr>
                <w:rFonts w:ascii="Arial" w:hAnsi="Arial" w:cs="Arial"/>
                <w:sz w:val="22"/>
                <w:szCs w:val="22"/>
              </w:rPr>
              <w:t xml:space="preserve">For </w:t>
            </w:r>
            <w:r w:rsidRPr="00431541">
              <w:rPr>
                <w:rFonts w:ascii="Arial" w:hAnsi="Arial" w:cs="Arial"/>
                <w:b/>
                <w:bCs/>
                <w:sz w:val="22"/>
                <w:szCs w:val="22"/>
              </w:rPr>
              <w:t xml:space="preserve">process items </w:t>
            </w:r>
            <w:r w:rsidRPr="00431541">
              <w:rPr>
                <w:rFonts w:ascii="Arial" w:hAnsi="Arial" w:cs="Arial"/>
                <w:sz w:val="22"/>
                <w:szCs w:val="22"/>
              </w:rPr>
              <w:t xml:space="preserve">(Categories 1-6), begin by reviewing the </w:t>
            </w:r>
            <w:r w:rsidRPr="00431541">
              <w:rPr>
                <w:rFonts w:ascii="Arial" w:hAnsi="Arial" w:cs="Arial"/>
                <w:b/>
                <w:bCs/>
                <w:sz w:val="22"/>
                <w:szCs w:val="22"/>
              </w:rPr>
              <w:t xml:space="preserve">processes </w:t>
            </w:r>
            <w:r w:rsidRPr="00431541">
              <w:rPr>
                <w:rFonts w:ascii="Arial" w:hAnsi="Arial" w:cs="Arial"/>
                <w:sz w:val="22"/>
                <w:szCs w:val="22"/>
              </w:rPr>
              <w:t xml:space="preserve">and </w:t>
            </w:r>
            <w:r w:rsidRPr="00431541">
              <w:rPr>
                <w:rFonts w:ascii="Arial" w:hAnsi="Arial" w:cs="Arial"/>
                <w:b/>
                <w:bCs/>
                <w:sz w:val="22"/>
                <w:szCs w:val="22"/>
              </w:rPr>
              <w:t xml:space="preserve">gaps </w:t>
            </w:r>
            <w:r w:rsidRPr="00431541">
              <w:rPr>
                <w:rFonts w:ascii="Arial" w:hAnsi="Arial" w:cs="Arial"/>
                <w:sz w:val="22"/>
                <w:szCs w:val="22"/>
              </w:rPr>
              <w:t xml:space="preserve">you noted during Step #3. Consider whether any of the gaps you identified are important to the applicant. If so, these may be potential OFI observations. </w:t>
            </w:r>
          </w:p>
          <w:p w:rsidR="00431541" w:rsidRPr="00431541" w:rsidRDefault="00431541" w:rsidP="00431541">
            <w:pPr>
              <w:pStyle w:val="Default"/>
              <w:numPr>
                <w:ilvl w:val="0"/>
                <w:numId w:val="16"/>
              </w:numPr>
              <w:rPr>
                <w:rFonts w:ascii="Arial" w:hAnsi="Arial" w:cs="Arial"/>
                <w:sz w:val="22"/>
                <w:szCs w:val="22"/>
              </w:rPr>
            </w:pPr>
            <w:r w:rsidRPr="00431541">
              <w:rPr>
                <w:rFonts w:ascii="Arial" w:hAnsi="Arial" w:cs="Arial"/>
                <w:sz w:val="22"/>
                <w:szCs w:val="22"/>
              </w:rPr>
              <w:t xml:space="preserve">For </w:t>
            </w:r>
            <w:r w:rsidRPr="00431541">
              <w:rPr>
                <w:rFonts w:ascii="Arial" w:hAnsi="Arial" w:cs="Arial"/>
                <w:b/>
                <w:bCs/>
                <w:sz w:val="22"/>
                <w:szCs w:val="22"/>
              </w:rPr>
              <w:t xml:space="preserve">results items </w:t>
            </w:r>
            <w:r w:rsidRPr="00431541">
              <w:rPr>
                <w:rFonts w:ascii="Arial" w:hAnsi="Arial" w:cs="Arial"/>
                <w:sz w:val="22"/>
                <w:szCs w:val="22"/>
              </w:rPr>
              <w:t xml:space="preserve">(Category 7), begin by reviewing the </w:t>
            </w:r>
            <w:r w:rsidRPr="00431541">
              <w:rPr>
                <w:rFonts w:ascii="Arial" w:hAnsi="Arial" w:cs="Arial"/>
                <w:b/>
                <w:bCs/>
                <w:sz w:val="22"/>
                <w:szCs w:val="22"/>
              </w:rPr>
              <w:t xml:space="preserve">results </w:t>
            </w:r>
            <w:r w:rsidRPr="00431541">
              <w:rPr>
                <w:rFonts w:ascii="Arial" w:hAnsi="Arial" w:cs="Arial"/>
                <w:sz w:val="22"/>
                <w:szCs w:val="22"/>
              </w:rPr>
              <w:t xml:space="preserve">and </w:t>
            </w:r>
            <w:r w:rsidRPr="00431541">
              <w:rPr>
                <w:rFonts w:ascii="Arial" w:hAnsi="Arial" w:cs="Arial"/>
                <w:b/>
                <w:bCs/>
                <w:sz w:val="22"/>
                <w:szCs w:val="22"/>
              </w:rPr>
              <w:t xml:space="preserve">gaps </w:t>
            </w:r>
            <w:r w:rsidRPr="00431541">
              <w:rPr>
                <w:rFonts w:ascii="Arial" w:hAnsi="Arial" w:cs="Arial"/>
                <w:sz w:val="22"/>
                <w:szCs w:val="22"/>
              </w:rPr>
              <w:t xml:space="preserve">you noted during Step #3. Consider whether any of the gaps you identified are important to the applicant. If so, these may be potential OFI observations. </w:t>
            </w:r>
          </w:p>
          <w:p w:rsidR="00431541" w:rsidRPr="00431541" w:rsidRDefault="00431541" w:rsidP="00431541">
            <w:pPr>
              <w:pStyle w:val="Default"/>
              <w:rPr>
                <w:rFonts w:ascii="Arial" w:hAnsi="Arial" w:cs="Arial"/>
                <w:sz w:val="22"/>
                <w:szCs w:val="22"/>
              </w:rPr>
            </w:pPr>
          </w:p>
          <w:p w:rsidR="00431541" w:rsidRPr="00431541" w:rsidRDefault="00431541" w:rsidP="00431541">
            <w:pPr>
              <w:pStyle w:val="Default"/>
              <w:rPr>
                <w:rFonts w:ascii="Arial" w:hAnsi="Arial" w:cs="Arial"/>
                <w:sz w:val="22"/>
                <w:szCs w:val="22"/>
              </w:rPr>
            </w:pPr>
            <w:r w:rsidRPr="00431541">
              <w:rPr>
                <w:rFonts w:ascii="Arial" w:hAnsi="Arial" w:cs="Arial"/>
                <w:sz w:val="22"/>
                <w:szCs w:val="22"/>
              </w:rPr>
              <w:t>Next look at the analysis you completed during Step #4 using A-D-L-I (process items) and Le-T-C-I (results items).</w:t>
            </w:r>
          </w:p>
          <w:p w:rsidR="00431541" w:rsidRPr="00431541" w:rsidRDefault="00431541" w:rsidP="00431541">
            <w:pPr>
              <w:pStyle w:val="Default"/>
              <w:rPr>
                <w:rFonts w:ascii="Arial" w:hAnsi="Arial" w:cs="Arial"/>
                <w:color w:val="auto"/>
                <w:sz w:val="22"/>
                <w:szCs w:val="22"/>
              </w:rPr>
            </w:pPr>
          </w:p>
          <w:p w:rsidR="00431541" w:rsidRPr="00431541" w:rsidRDefault="00431541" w:rsidP="00431541">
            <w:pPr>
              <w:pStyle w:val="Default"/>
              <w:numPr>
                <w:ilvl w:val="0"/>
                <w:numId w:val="17"/>
              </w:numPr>
              <w:spacing w:after="120"/>
              <w:rPr>
                <w:rFonts w:ascii="Arial" w:hAnsi="Arial" w:cs="Arial"/>
                <w:sz w:val="22"/>
                <w:szCs w:val="22"/>
              </w:rPr>
            </w:pPr>
            <w:r w:rsidRPr="00431541">
              <w:rPr>
                <w:rFonts w:ascii="Arial" w:hAnsi="Arial" w:cs="Arial"/>
                <w:sz w:val="22"/>
                <w:szCs w:val="22"/>
              </w:rPr>
              <w:t xml:space="preserve">For </w:t>
            </w:r>
            <w:r w:rsidRPr="00431541">
              <w:rPr>
                <w:rFonts w:ascii="Arial" w:hAnsi="Arial" w:cs="Arial"/>
                <w:b/>
                <w:bCs/>
                <w:sz w:val="22"/>
                <w:szCs w:val="22"/>
              </w:rPr>
              <w:t>process items</w:t>
            </w:r>
            <w:r w:rsidRPr="00431541">
              <w:rPr>
                <w:rFonts w:ascii="Arial" w:hAnsi="Arial" w:cs="Arial"/>
                <w:sz w:val="22"/>
                <w:szCs w:val="22"/>
              </w:rPr>
              <w:t xml:space="preserve">, identify areas of strength (evidence of systematic approaches, evidence of appropriate deployment, evidence of cycles of learning, evidence of integration) and areas of opportunity (lack of an approach, incomplete deployment, unclear cycles of learning, no evidence of integration). </w:t>
            </w:r>
          </w:p>
          <w:p w:rsidR="00431541" w:rsidRPr="00431541" w:rsidRDefault="00431541" w:rsidP="00431541">
            <w:pPr>
              <w:pStyle w:val="Default"/>
              <w:numPr>
                <w:ilvl w:val="0"/>
                <w:numId w:val="17"/>
              </w:numPr>
              <w:spacing w:after="120"/>
              <w:rPr>
                <w:rFonts w:ascii="Arial" w:hAnsi="Arial" w:cs="Arial"/>
                <w:sz w:val="22"/>
                <w:szCs w:val="22"/>
              </w:rPr>
            </w:pPr>
            <w:r w:rsidRPr="00431541">
              <w:rPr>
                <w:rFonts w:ascii="Arial" w:hAnsi="Arial" w:cs="Arial"/>
                <w:sz w:val="22"/>
                <w:szCs w:val="22"/>
              </w:rPr>
              <w:lastRenderedPageBreak/>
              <w:t xml:space="preserve">For </w:t>
            </w:r>
            <w:r w:rsidRPr="00431541">
              <w:rPr>
                <w:rFonts w:ascii="Arial" w:hAnsi="Arial" w:cs="Arial"/>
                <w:b/>
                <w:bCs/>
                <w:sz w:val="22"/>
                <w:szCs w:val="22"/>
              </w:rPr>
              <w:t>results items</w:t>
            </w:r>
            <w:r w:rsidRPr="00431541">
              <w:rPr>
                <w:rFonts w:ascii="Arial" w:hAnsi="Arial" w:cs="Arial"/>
                <w:sz w:val="22"/>
                <w:szCs w:val="22"/>
              </w:rPr>
              <w:t xml:space="preserve">, identify areas of strength (good organizational performance levels, beneficial trends, relevant comparisons, or evidence of integration) and areas of opportunity (lack of performance levels, missing or adverse trends, little to no comparative data, or no evidence of integration). </w:t>
            </w:r>
            <w:r w:rsidR="0088101F">
              <w:rPr>
                <w:rFonts w:ascii="Arial" w:hAnsi="Arial" w:cs="Arial"/>
                <w:sz w:val="22"/>
                <w:szCs w:val="22"/>
              </w:rPr>
              <w:t xml:space="preserve">  Use the analysis of the Results Matrix to help identify areas of strength and areas of opportunity.</w:t>
            </w:r>
          </w:p>
          <w:p w:rsidR="00431541" w:rsidRPr="00431541" w:rsidRDefault="00431541" w:rsidP="0088101F">
            <w:pPr>
              <w:pStyle w:val="Default"/>
              <w:spacing w:after="120"/>
              <w:rPr>
                <w:rFonts w:ascii="Arial" w:hAnsi="Arial" w:cs="Arial"/>
                <w:sz w:val="22"/>
                <w:szCs w:val="22"/>
              </w:rPr>
            </w:pPr>
            <w:r w:rsidRPr="00431541">
              <w:rPr>
                <w:rFonts w:ascii="Arial" w:hAnsi="Arial" w:cs="Arial"/>
                <w:sz w:val="22"/>
                <w:szCs w:val="22"/>
              </w:rPr>
              <w:t xml:space="preserve">Using the applicant’s key factors, determine which of these strength and OFI observations may be most critical, and enter them into the appropriate Item Worksheet in the QE Workbook. </w:t>
            </w:r>
          </w:p>
          <w:p w:rsidR="00CB6A96" w:rsidRDefault="00CB6A96" w:rsidP="00CB6A96">
            <w:pPr>
              <w:pStyle w:val="Default"/>
              <w:numPr>
                <w:ilvl w:val="0"/>
                <w:numId w:val="18"/>
              </w:numPr>
              <w:spacing w:after="120"/>
              <w:rPr>
                <w:rFonts w:ascii="Arial" w:hAnsi="Arial" w:cs="Arial"/>
                <w:sz w:val="22"/>
                <w:szCs w:val="22"/>
              </w:rPr>
            </w:pPr>
            <w:r>
              <w:rPr>
                <w:rFonts w:ascii="Arial" w:hAnsi="Arial" w:cs="Arial"/>
                <w:sz w:val="22"/>
                <w:szCs w:val="22"/>
              </w:rPr>
              <w:t>For the Item Ref. being addressed, enter your initials in the cell provided.</w:t>
            </w:r>
          </w:p>
          <w:p w:rsidR="00CB6A96" w:rsidRDefault="00CB6A96" w:rsidP="00CB6A96">
            <w:pPr>
              <w:pStyle w:val="Default"/>
              <w:numPr>
                <w:ilvl w:val="0"/>
                <w:numId w:val="18"/>
              </w:numPr>
              <w:spacing w:after="120"/>
              <w:rPr>
                <w:rFonts w:ascii="Arial" w:hAnsi="Arial" w:cs="Arial"/>
                <w:sz w:val="22"/>
                <w:szCs w:val="22"/>
              </w:rPr>
            </w:pPr>
            <w:r>
              <w:rPr>
                <w:rFonts w:ascii="Arial" w:hAnsi="Arial" w:cs="Arial"/>
                <w:sz w:val="22"/>
                <w:szCs w:val="22"/>
              </w:rPr>
              <w:t>Enter the Key Factor number(s) relevant to the observation.</w:t>
            </w:r>
          </w:p>
          <w:p w:rsidR="00431541" w:rsidRDefault="00CB6A96" w:rsidP="00576EC5">
            <w:pPr>
              <w:pStyle w:val="Default"/>
              <w:numPr>
                <w:ilvl w:val="0"/>
                <w:numId w:val="18"/>
              </w:numPr>
              <w:spacing w:after="120"/>
              <w:rPr>
                <w:rFonts w:ascii="Arial" w:hAnsi="Arial" w:cs="Arial"/>
                <w:sz w:val="22"/>
                <w:szCs w:val="22"/>
              </w:rPr>
            </w:pPr>
            <w:r w:rsidRPr="00CB6A96">
              <w:rPr>
                <w:rFonts w:ascii="Arial" w:hAnsi="Arial" w:cs="Arial"/>
                <w:sz w:val="22"/>
                <w:szCs w:val="22"/>
              </w:rPr>
              <w:t>For s</w:t>
            </w:r>
            <w:r>
              <w:rPr>
                <w:rFonts w:ascii="Arial" w:hAnsi="Arial" w:cs="Arial"/>
                <w:sz w:val="22"/>
                <w:szCs w:val="22"/>
              </w:rPr>
              <w:t xml:space="preserve">trength observations, select the Strength Evidence cell and write the “nugget” of your strength observation.  For example for Item Ref. </w:t>
            </w:r>
            <w:proofErr w:type="gramStart"/>
            <w:r>
              <w:rPr>
                <w:rFonts w:ascii="Arial" w:hAnsi="Arial" w:cs="Arial"/>
                <w:sz w:val="22"/>
                <w:szCs w:val="22"/>
              </w:rPr>
              <w:t>2.1a(</w:t>
            </w:r>
            <w:proofErr w:type="gramEnd"/>
            <w:r>
              <w:rPr>
                <w:rFonts w:ascii="Arial" w:hAnsi="Arial" w:cs="Arial"/>
                <w:sz w:val="22"/>
                <w:szCs w:val="22"/>
              </w:rPr>
              <w:t>1), you might enter “Systematic strategic plan</w:t>
            </w:r>
            <w:r w:rsidR="008A63C0">
              <w:rPr>
                <w:rFonts w:ascii="Arial" w:hAnsi="Arial" w:cs="Arial"/>
                <w:sz w:val="22"/>
                <w:szCs w:val="22"/>
              </w:rPr>
              <w:t>ning process, includes broad stakeholder input, systematic reviewed for improvement.”</w:t>
            </w:r>
          </w:p>
          <w:p w:rsidR="00CB6A96" w:rsidRPr="008A63C0" w:rsidRDefault="00CB6A96" w:rsidP="00576EC5">
            <w:pPr>
              <w:pStyle w:val="Default"/>
              <w:numPr>
                <w:ilvl w:val="0"/>
                <w:numId w:val="18"/>
              </w:numPr>
              <w:spacing w:after="120"/>
              <w:rPr>
                <w:rFonts w:ascii="Arial" w:hAnsi="Arial" w:cs="Arial"/>
                <w:sz w:val="22"/>
                <w:szCs w:val="22"/>
              </w:rPr>
            </w:pPr>
            <w:r>
              <w:rPr>
                <w:rFonts w:ascii="Arial" w:hAnsi="Arial" w:cs="Arial"/>
                <w:sz w:val="22"/>
                <w:szCs w:val="22"/>
              </w:rPr>
              <w:t>L</w:t>
            </w:r>
            <w:r w:rsidRPr="00CB6A96">
              <w:rPr>
                <w:rFonts w:ascii="Arial" w:hAnsi="Arial" w:cs="Arial"/>
                <w:sz w:val="22"/>
                <w:szCs w:val="22"/>
              </w:rPr>
              <w:t xml:space="preserve">ist the specific evidence you observed in the application. </w:t>
            </w:r>
            <w:r w:rsidRPr="00CB6A96">
              <w:rPr>
                <w:rFonts w:ascii="Arial" w:hAnsi="Arial" w:cs="Arial"/>
                <w:b/>
                <w:bCs/>
                <w:sz w:val="22"/>
                <w:szCs w:val="22"/>
              </w:rPr>
              <w:t>Use figure numbers where appropriate to refer to evidence charts, tables, and graphics found in the application</w:t>
            </w:r>
            <w:r w:rsidR="008A63C0">
              <w:rPr>
                <w:rFonts w:ascii="Arial" w:hAnsi="Arial" w:cs="Arial"/>
                <w:b/>
                <w:bCs/>
                <w:sz w:val="22"/>
                <w:szCs w:val="22"/>
              </w:rPr>
              <w:t>.</w:t>
            </w:r>
          </w:p>
          <w:p w:rsidR="008A63C0" w:rsidRDefault="008A63C0" w:rsidP="00576EC5">
            <w:pPr>
              <w:pStyle w:val="Default"/>
              <w:numPr>
                <w:ilvl w:val="0"/>
                <w:numId w:val="18"/>
              </w:numPr>
              <w:spacing w:after="120"/>
              <w:rPr>
                <w:rFonts w:ascii="Arial" w:hAnsi="Arial" w:cs="Arial"/>
                <w:sz w:val="22"/>
                <w:szCs w:val="22"/>
              </w:rPr>
            </w:pPr>
            <w:r w:rsidRPr="00CB6A96">
              <w:rPr>
                <w:rFonts w:ascii="Arial" w:hAnsi="Arial" w:cs="Arial"/>
                <w:sz w:val="22"/>
                <w:szCs w:val="22"/>
              </w:rPr>
              <w:t>Use the provided checkboxes to indicate which evaluation factors your strength</w:t>
            </w:r>
            <w:r>
              <w:rPr>
                <w:rFonts w:ascii="Arial" w:hAnsi="Arial" w:cs="Arial"/>
                <w:sz w:val="22"/>
                <w:szCs w:val="22"/>
              </w:rPr>
              <w:t xml:space="preserve"> references.  For example, checking A, D and L indicates a systematic approach, deployed appropriately with cycles of learning.</w:t>
            </w:r>
          </w:p>
          <w:p w:rsidR="008A63C0" w:rsidRDefault="008A63C0" w:rsidP="008A63C0">
            <w:pPr>
              <w:pStyle w:val="Default"/>
              <w:numPr>
                <w:ilvl w:val="0"/>
                <w:numId w:val="18"/>
              </w:numPr>
              <w:spacing w:after="120"/>
              <w:rPr>
                <w:rFonts w:ascii="Arial" w:hAnsi="Arial" w:cs="Arial"/>
                <w:sz w:val="22"/>
                <w:szCs w:val="22"/>
              </w:rPr>
            </w:pPr>
            <w:r w:rsidRPr="008A63C0">
              <w:rPr>
                <w:rFonts w:ascii="Arial" w:hAnsi="Arial" w:cs="Arial"/>
                <w:sz w:val="22"/>
                <w:szCs w:val="22"/>
              </w:rPr>
              <w:t xml:space="preserve">In Column O, enter H, M, or L to indicate </w:t>
            </w:r>
            <w:r>
              <w:rPr>
                <w:rFonts w:ascii="Arial" w:hAnsi="Arial" w:cs="Arial"/>
                <w:sz w:val="22"/>
                <w:szCs w:val="22"/>
              </w:rPr>
              <w:t>the priority of the strength.  “H” flags a high-priority strength or a “Double Strength”</w:t>
            </w:r>
            <w:r w:rsidR="00CB6A96" w:rsidRPr="008A63C0">
              <w:rPr>
                <w:rFonts w:ascii="Arial" w:hAnsi="Arial" w:cs="Arial"/>
                <w:b/>
                <w:bCs/>
                <w:sz w:val="22"/>
                <w:szCs w:val="22"/>
              </w:rPr>
              <w:t xml:space="preserve">. </w:t>
            </w:r>
          </w:p>
          <w:p w:rsidR="008A63C0" w:rsidRDefault="008A63C0" w:rsidP="008A63C0">
            <w:pPr>
              <w:pStyle w:val="Default"/>
              <w:numPr>
                <w:ilvl w:val="0"/>
                <w:numId w:val="18"/>
              </w:numPr>
              <w:spacing w:after="120"/>
              <w:rPr>
                <w:rFonts w:ascii="Arial" w:hAnsi="Arial" w:cs="Arial"/>
                <w:sz w:val="22"/>
                <w:szCs w:val="22"/>
              </w:rPr>
            </w:pPr>
            <w:r>
              <w:rPr>
                <w:rFonts w:ascii="Arial" w:hAnsi="Arial" w:cs="Arial"/>
                <w:sz w:val="22"/>
                <w:szCs w:val="22"/>
              </w:rPr>
              <w:t>For OFI observations, select the Opportunity for Improvement cell and write the “nugget” of your OFI observation.  For example for Item Ref. 2.1b, you might enter “It is not clear how strategic objectives align with balanced scorecards.”</w:t>
            </w:r>
          </w:p>
          <w:p w:rsidR="008A63C0" w:rsidRPr="008A63C0" w:rsidRDefault="008A63C0" w:rsidP="008A63C0">
            <w:pPr>
              <w:pStyle w:val="Default"/>
              <w:numPr>
                <w:ilvl w:val="0"/>
                <w:numId w:val="18"/>
              </w:numPr>
              <w:spacing w:after="120"/>
              <w:rPr>
                <w:rFonts w:ascii="Arial" w:hAnsi="Arial" w:cs="Arial"/>
                <w:sz w:val="22"/>
                <w:szCs w:val="22"/>
              </w:rPr>
            </w:pPr>
            <w:r w:rsidRPr="00CB6A96">
              <w:rPr>
                <w:rFonts w:ascii="Arial" w:hAnsi="Arial" w:cs="Arial"/>
                <w:sz w:val="22"/>
                <w:szCs w:val="22"/>
              </w:rPr>
              <w:t xml:space="preserve">Use the provided checkboxes to indicate which evaluation factors your </w:t>
            </w:r>
            <w:r>
              <w:rPr>
                <w:rFonts w:ascii="Arial" w:hAnsi="Arial" w:cs="Arial"/>
                <w:sz w:val="22"/>
                <w:szCs w:val="22"/>
              </w:rPr>
              <w:t>OFI references</w:t>
            </w:r>
            <w:r>
              <w:rPr>
                <w:rFonts w:ascii="Arial" w:hAnsi="Arial" w:cs="Arial"/>
                <w:sz w:val="22"/>
                <w:szCs w:val="22"/>
              </w:rPr>
              <w:t>.</w:t>
            </w:r>
            <w:r>
              <w:rPr>
                <w:rFonts w:ascii="Arial" w:hAnsi="Arial" w:cs="Arial"/>
                <w:sz w:val="22"/>
                <w:szCs w:val="22"/>
              </w:rPr>
              <w:t xml:space="preserve">  </w:t>
            </w:r>
            <w:r w:rsidRPr="00CB6A96">
              <w:rPr>
                <w:rFonts w:ascii="Arial" w:hAnsi="Arial" w:cs="Arial"/>
                <w:sz w:val="22"/>
                <w:szCs w:val="22"/>
              </w:rPr>
              <w:t>For example, checking Approach and Deployment for an OFI observation indicates that approach and deployment are lacking</w:t>
            </w:r>
            <w:r>
              <w:rPr>
                <w:rFonts w:ascii="Arial" w:hAnsi="Arial" w:cs="Arial"/>
                <w:sz w:val="22"/>
                <w:szCs w:val="22"/>
              </w:rPr>
              <w:t>.</w:t>
            </w:r>
          </w:p>
          <w:p w:rsidR="00A271DB" w:rsidRPr="008A63C0" w:rsidRDefault="008A63C0" w:rsidP="008A63C0">
            <w:pPr>
              <w:pStyle w:val="Default"/>
              <w:numPr>
                <w:ilvl w:val="0"/>
                <w:numId w:val="8"/>
              </w:numPr>
              <w:spacing w:before="240"/>
              <w:ind w:left="335"/>
              <w:rPr>
                <w:rFonts w:ascii="Arial" w:hAnsi="Arial" w:cs="Arial"/>
                <w:b/>
                <w:sz w:val="22"/>
                <w:szCs w:val="22"/>
              </w:rPr>
            </w:pPr>
            <w:r>
              <w:rPr>
                <w:rFonts w:ascii="Arial" w:hAnsi="Arial" w:cs="Arial"/>
                <w:b/>
                <w:sz w:val="22"/>
                <w:szCs w:val="22"/>
                <w:u w:val="single"/>
              </w:rPr>
              <w:t>Score the Item</w:t>
            </w:r>
          </w:p>
          <w:p w:rsidR="000D5C65" w:rsidRDefault="000D5C65" w:rsidP="000D5C65">
            <w:pPr>
              <w:pStyle w:val="Default"/>
              <w:rPr>
                <w:sz w:val="22"/>
                <w:szCs w:val="22"/>
              </w:rPr>
            </w:pPr>
          </w:p>
          <w:p w:rsidR="000D5C65" w:rsidRPr="000D5C65" w:rsidRDefault="000D5C65" w:rsidP="0088101F">
            <w:pPr>
              <w:pStyle w:val="Default"/>
              <w:spacing w:after="120"/>
              <w:rPr>
                <w:rFonts w:ascii="Arial" w:hAnsi="Arial" w:cs="Arial"/>
                <w:szCs w:val="22"/>
              </w:rPr>
            </w:pPr>
            <w:r>
              <w:rPr>
                <w:rFonts w:ascii="Arial" w:hAnsi="Arial" w:cs="Arial"/>
                <w:szCs w:val="22"/>
              </w:rPr>
              <w:t>D</w:t>
            </w:r>
            <w:r w:rsidRPr="000D5C65">
              <w:rPr>
                <w:rFonts w:ascii="Arial" w:hAnsi="Arial" w:cs="Arial"/>
                <w:szCs w:val="22"/>
              </w:rPr>
              <w:t xml:space="preserve">etermine a scoring range and final score for the item you evaluated: </w:t>
            </w:r>
          </w:p>
          <w:p w:rsidR="000D5C65" w:rsidRDefault="000D5C65" w:rsidP="000D5C65">
            <w:pPr>
              <w:pStyle w:val="Default"/>
              <w:numPr>
                <w:ilvl w:val="0"/>
                <w:numId w:val="21"/>
              </w:numPr>
              <w:spacing w:after="120"/>
              <w:rPr>
                <w:rFonts w:ascii="Arial" w:hAnsi="Arial" w:cs="Arial"/>
                <w:sz w:val="22"/>
                <w:szCs w:val="22"/>
              </w:rPr>
            </w:pPr>
            <w:r w:rsidRPr="000D5C65">
              <w:rPr>
                <w:rFonts w:ascii="Arial" w:hAnsi="Arial" w:cs="Arial"/>
                <w:sz w:val="22"/>
                <w:szCs w:val="22"/>
              </w:rPr>
              <w:t xml:space="preserve">Review the Criteria requirements. </w:t>
            </w:r>
          </w:p>
          <w:p w:rsidR="000D5C65" w:rsidRDefault="000D5C65" w:rsidP="000D5C65">
            <w:pPr>
              <w:pStyle w:val="Default"/>
              <w:numPr>
                <w:ilvl w:val="0"/>
                <w:numId w:val="21"/>
              </w:numPr>
              <w:spacing w:after="120"/>
              <w:rPr>
                <w:rFonts w:ascii="Arial" w:hAnsi="Arial" w:cs="Arial"/>
                <w:sz w:val="22"/>
                <w:szCs w:val="22"/>
              </w:rPr>
            </w:pPr>
            <w:r w:rsidRPr="000D5C65">
              <w:rPr>
                <w:rFonts w:ascii="Arial" w:hAnsi="Arial" w:cs="Arial"/>
                <w:sz w:val="22"/>
                <w:szCs w:val="22"/>
              </w:rPr>
              <w:t>Review the strength and OFI observations you drafted for the item, particularly noting any ++ or -- observations.</w:t>
            </w:r>
          </w:p>
          <w:p w:rsidR="000D5C65" w:rsidRDefault="000D5C65" w:rsidP="000D5C65">
            <w:pPr>
              <w:pStyle w:val="Default"/>
              <w:numPr>
                <w:ilvl w:val="0"/>
                <w:numId w:val="21"/>
              </w:numPr>
              <w:spacing w:after="120"/>
              <w:rPr>
                <w:rFonts w:ascii="Arial" w:hAnsi="Arial" w:cs="Arial"/>
                <w:sz w:val="22"/>
                <w:szCs w:val="22"/>
              </w:rPr>
            </w:pPr>
            <w:r w:rsidRPr="000D5C65">
              <w:rPr>
                <w:rFonts w:ascii="Arial" w:hAnsi="Arial" w:cs="Arial"/>
                <w:sz w:val="22"/>
                <w:szCs w:val="22"/>
              </w:rPr>
              <w:t>Note the balance and importance of these observations relative to the item requirements and key factors.</w:t>
            </w:r>
          </w:p>
          <w:p w:rsidR="000D5C65" w:rsidRDefault="000D5C65" w:rsidP="000D5C65">
            <w:pPr>
              <w:pStyle w:val="Default"/>
              <w:numPr>
                <w:ilvl w:val="0"/>
                <w:numId w:val="21"/>
              </w:numPr>
              <w:spacing w:after="120"/>
              <w:rPr>
                <w:rFonts w:ascii="Arial" w:hAnsi="Arial" w:cs="Arial"/>
                <w:sz w:val="22"/>
                <w:szCs w:val="22"/>
              </w:rPr>
            </w:pPr>
            <w:r w:rsidRPr="000D5C65">
              <w:rPr>
                <w:rFonts w:ascii="Arial" w:hAnsi="Arial" w:cs="Arial"/>
                <w:sz w:val="22"/>
                <w:szCs w:val="22"/>
              </w:rPr>
              <w:t xml:space="preserve"> For </w:t>
            </w:r>
            <w:r w:rsidRPr="000D5C65">
              <w:rPr>
                <w:rFonts w:ascii="Arial" w:hAnsi="Arial" w:cs="Arial"/>
                <w:b/>
                <w:bCs/>
                <w:sz w:val="22"/>
                <w:szCs w:val="22"/>
              </w:rPr>
              <w:t>process items</w:t>
            </w:r>
            <w:r w:rsidRPr="000D5C65">
              <w:rPr>
                <w:rFonts w:ascii="Arial" w:hAnsi="Arial" w:cs="Arial"/>
                <w:sz w:val="22"/>
                <w:szCs w:val="22"/>
              </w:rPr>
              <w:t xml:space="preserve">, begin by reading the description of the 50-65% range in the Process Scoring Guidelines. Consider whether this range </w:t>
            </w:r>
            <w:r w:rsidRPr="000D5C65">
              <w:rPr>
                <w:rFonts w:ascii="Arial" w:hAnsi="Arial" w:cs="Arial"/>
                <w:sz w:val="22"/>
                <w:szCs w:val="22"/>
              </w:rPr>
              <w:lastRenderedPageBreak/>
              <w:t xml:space="preserve">accurately describes the applicant’s </w:t>
            </w:r>
            <w:r w:rsidRPr="000D5C65">
              <w:rPr>
                <w:rFonts w:ascii="Arial" w:hAnsi="Arial" w:cs="Arial"/>
                <w:b/>
                <w:bCs/>
                <w:sz w:val="22"/>
                <w:szCs w:val="22"/>
              </w:rPr>
              <w:t xml:space="preserve">Approach (A), Deployment (D), Learning (L), and Integration (I) </w:t>
            </w:r>
            <w:r w:rsidRPr="000D5C65">
              <w:rPr>
                <w:rFonts w:ascii="Arial" w:hAnsi="Arial" w:cs="Arial"/>
                <w:sz w:val="22"/>
                <w:szCs w:val="22"/>
              </w:rPr>
              <w:t xml:space="preserve">for the item. </w:t>
            </w:r>
          </w:p>
          <w:p w:rsidR="000D5C65" w:rsidRPr="000D5C65" w:rsidRDefault="000D5C65" w:rsidP="000D5C65">
            <w:pPr>
              <w:pStyle w:val="Default"/>
              <w:numPr>
                <w:ilvl w:val="0"/>
                <w:numId w:val="21"/>
              </w:numPr>
              <w:spacing w:after="120"/>
              <w:rPr>
                <w:rFonts w:ascii="Arial" w:hAnsi="Arial" w:cs="Arial"/>
                <w:sz w:val="22"/>
                <w:szCs w:val="22"/>
              </w:rPr>
            </w:pPr>
            <w:r w:rsidRPr="000D5C65">
              <w:rPr>
                <w:rFonts w:ascii="Arial" w:hAnsi="Arial" w:cs="Arial"/>
                <w:sz w:val="22"/>
                <w:szCs w:val="22"/>
              </w:rPr>
              <w:t xml:space="preserve">For </w:t>
            </w:r>
            <w:r w:rsidRPr="000D5C65">
              <w:rPr>
                <w:rFonts w:ascii="Arial" w:hAnsi="Arial" w:cs="Arial"/>
                <w:b/>
                <w:bCs/>
                <w:sz w:val="22"/>
                <w:szCs w:val="22"/>
              </w:rPr>
              <w:t>results items</w:t>
            </w:r>
            <w:r w:rsidRPr="000D5C65">
              <w:rPr>
                <w:rFonts w:ascii="Arial" w:hAnsi="Arial" w:cs="Arial"/>
                <w:sz w:val="22"/>
                <w:szCs w:val="22"/>
              </w:rPr>
              <w:t xml:space="preserve">, begin by reading the description of the 50-65% range in the Results Scoring Guidelines. Consider whether this range accurately describes the applicant’s </w:t>
            </w:r>
            <w:r w:rsidRPr="000D5C65">
              <w:rPr>
                <w:rFonts w:ascii="Arial" w:hAnsi="Arial" w:cs="Arial"/>
                <w:b/>
                <w:bCs/>
                <w:sz w:val="22"/>
                <w:szCs w:val="22"/>
              </w:rPr>
              <w:t xml:space="preserve">Levels (Le), Trends (T), Comparisons (C), and Integration (I) </w:t>
            </w:r>
            <w:r w:rsidRPr="000D5C65">
              <w:rPr>
                <w:rFonts w:ascii="Arial" w:hAnsi="Arial" w:cs="Arial"/>
                <w:sz w:val="22"/>
                <w:szCs w:val="22"/>
              </w:rPr>
              <w:t>for the item</w:t>
            </w:r>
          </w:p>
          <w:p w:rsidR="0088101F" w:rsidRPr="0088101F" w:rsidRDefault="000D5C65" w:rsidP="00C90FF0">
            <w:pPr>
              <w:pStyle w:val="Default"/>
              <w:numPr>
                <w:ilvl w:val="0"/>
                <w:numId w:val="21"/>
              </w:numPr>
              <w:spacing w:after="120"/>
              <w:rPr>
                <w:rFonts w:ascii="Arial" w:hAnsi="Arial" w:cs="Arial"/>
                <w:sz w:val="22"/>
                <w:szCs w:val="22"/>
              </w:rPr>
            </w:pPr>
            <w:r w:rsidRPr="0088101F">
              <w:rPr>
                <w:rFonts w:ascii="Arial" w:hAnsi="Arial" w:cs="Arial"/>
                <w:sz w:val="22"/>
                <w:szCs w:val="22"/>
              </w:rPr>
              <w:t>Move up or down the six ranges</w:t>
            </w:r>
            <w:r w:rsidR="0088101F" w:rsidRPr="0088101F">
              <w:rPr>
                <w:rFonts w:ascii="Arial" w:hAnsi="Arial" w:cs="Arial"/>
                <w:sz w:val="22"/>
                <w:szCs w:val="22"/>
              </w:rPr>
              <w:t xml:space="preserve"> until you find the “best fit.” </w:t>
            </w:r>
            <w:r w:rsidR="0088101F" w:rsidRPr="0088101F">
              <w:rPr>
                <w:rFonts w:ascii="Arial" w:hAnsi="Arial" w:cs="Arial"/>
                <w:sz w:val="22"/>
                <w:szCs w:val="22"/>
              </w:rPr>
              <w:t xml:space="preserve">The “best fit” range takes into account the descriptions of all the individual evaluation factors. Considering the applicant’s performance holistically, click on the most appropriate range from the drop-down box at the bottom of the screen. </w:t>
            </w:r>
          </w:p>
          <w:p w:rsidR="0088101F" w:rsidRPr="0088101F" w:rsidRDefault="0088101F" w:rsidP="0088101F">
            <w:pPr>
              <w:pStyle w:val="Default"/>
              <w:spacing w:after="120"/>
              <w:ind w:left="691"/>
              <w:rPr>
                <w:rFonts w:ascii="Arial" w:hAnsi="Arial" w:cs="Arial"/>
                <w:sz w:val="22"/>
                <w:szCs w:val="22"/>
              </w:rPr>
            </w:pPr>
            <w:r w:rsidRPr="0088101F">
              <w:rPr>
                <w:rFonts w:ascii="Arial" w:hAnsi="Arial" w:cs="Arial"/>
                <w:i/>
                <w:iCs/>
                <w:sz w:val="22"/>
                <w:szCs w:val="22"/>
              </w:rPr>
              <w:t xml:space="preserve">The applicant does not need to demonstrate all the characteristics in the selected range; rather, the score is based on a holistic view of the four evaluation factors in aggregate. </w:t>
            </w:r>
          </w:p>
          <w:p w:rsidR="0088101F" w:rsidRPr="0088101F" w:rsidRDefault="0088101F" w:rsidP="0088101F">
            <w:pPr>
              <w:pStyle w:val="Default"/>
              <w:numPr>
                <w:ilvl w:val="0"/>
                <w:numId w:val="22"/>
              </w:numPr>
              <w:rPr>
                <w:rFonts w:ascii="Arial" w:hAnsi="Arial" w:cs="Arial"/>
                <w:sz w:val="22"/>
                <w:szCs w:val="22"/>
              </w:rPr>
            </w:pPr>
            <w:r w:rsidRPr="0088101F">
              <w:rPr>
                <w:rFonts w:ascii="Arial" w:hAnsi="Arial" w:cs="Arial"/>
                <w:sz w:val="22"/>
                <w:szCs w:val="22"/>
              </w:rPr>
              <w:t xml:space="preserve">Finally, determine a percentage score that is a multiple of 5 for the item. Select the “best fit” percentage score in the “Item Score” box and click “Save.” </w:t>
            </w:r>
          </w:p>
          <w:p w:rsidR="0088101F" w:rsidRDefault="0088101F" w:rsidP="0088101F">
            <w:pPr>
              <w:pStyle w:val="Default"/>
              <w:rPr>
                <w:sz w:val="22"/>
                <w:szCs w:val="22"/>
              </w:rPr>
            </w:pPr>
          </w:p>
          <w:p w:rsidR="00A37EE3" w:rsidRDefault="0088101F" w:rsidP="00A37EE3">
            <w:pPr>
              <w:pStyle w:val="Default"/>
              <w:numPr>
                <w:ilvl w:val="0"/>
                <w:numId w:val="8"/>
              </w:numPr>
              <w:spacing w:after="120"/>
              <w:ind w:left="331"/>
              <w:rPr>
                <w:rFonts w:ascii="Arial" w:hAnsi="Arial" w:cs="Arial"/>
                <w:b/>
                <w:color w:val="auto"/>
                <w:sz w:val="22"/>
                <w:u w:val="single"/>
              </w:rPr>
            </w:pPr>
            <w:r w:rsidRPr="0088101F">
              <w:rPr>
                <w:rFonts w:ascii="Arial" w:hAnsi="Arial" w:cs="Arial"/>
                <w:b/>
                <w:bCs/>
                <w:sz w:val="22"/>
                <w:szCs w:val="22"/>
                <w:u w:val="single"/>
              </w:rPr>
              <w:t>Write two feedback-ready comments for the item: one strength and one OFI</w:t>
            </w:r>
          </w:p>
          <w:p w:rsidR="0088101F" w:rsidRPr="00A37EE3" w:rsidRDefault="0088101F" w:rsidP="00A37EE3">
            <w:pPr>
              <w:pStyle w:val="Default"/>
              <w:spacing w:after="120"/>
              <w:ind w:left="331"/>
              <w:rPr>
                <w:rFonts w:ascii="Arial" w:hAnsi="Arial" w:cs="Arial"/>
                <w:b/>
                <w:color w:val="auto"/>
                <w:sz w:val="22"/>
                <w:u w:val="single"/>
              </w:rPr>
            </w:pPr>
            <w:r w:rsidRPr="00A37EE3">
              <w:rPr>
                <w:rFonts w:ascii="Arial" w:hAnsi="Arial" w:cs="Arial"/>
                <w:sz w:val="22"/>
                <w:szCs w:val="22"/>
              </w:rPr>
              <w:t xml:space="preserve">The purpose of a comment is to tell the applicant what it does well or what is needed to improve. Good comments convey a single thought and provide the applicant with meaningful (value-added) feedback that is easy to understand. Use this process to draft your comment: </w:t>
            </w:r>
          </w:p>
          <w:p w:rsidR="0088101F" w:rsidRPr="0088101F" w:rsidRDefault="0088101F" w:rsidP="00A37EE3">
            <w:pPr>
              <w:pStyle w:val="Default"/>
              <w:numPr>
                <w:ilvl w:val="0"/>
                <w:numId w:val="22"/>
              </w:numPr>
              <w:spacing w:after="120"/>
              <w:rPr>
                <w:rFonts w:ascii="Arial" w:hAnsi="Arial" w:cs="Arial"/>
                <w:sz w:val="22"/>
                <w:szCs w:val="22"/>
              </w:rPr>
            </w:pPr>
            <w:r w:rsidRPr="0088101F">
              <w:rPr>
                <w:rFonts w:ascii="Arial" w:hAnsi="Arial" w:cs="Arial"/>
                <w:sz w:val="22"/>
                <w:szCs w:val="22"/>
              </w:rPr>
              <w:t xml:space="preserve">Be sure your comment is grounded in the Criteria. </w:t>
            </w:r>
          </w:p>
          <w:p w:rsidR="0088101F" w:rsidRPr="0088101F" w:rsidRDefault="0088101F" w:rsidP="00A37EE3">
            <w:pPr>
              <w:pStyle w:val="Default"/>
              <w:numPr>
                <w:ilvl w:val="0"/>
                <w:numId w:val="22"/>
              </w:numPr>
              <w:spacing w:after="120"/>
              <w:rPr>
                <w:rFonts w:ascii="Arial" w:hAnsi="Arial" w:cs="Arial"/>
                <w:sz w:val="22"/>
                <w:szCs w:val="22"/>
              </w:rPr>
            </w:pPr>
            <w:r w:rsidRPr="0088101F">
              <w:rPr>
                <w:rFonts w:ascii="Arial" w:hAnsi="Arial" w:cs="Arial"/>
                <w:b/>
                <w:bCs/>
                <w:sz w:val="22"/>
                <w:szCs w:val="22"/>
              </w:rPr>
              <w:t>Start with a sentence stating the “nugget” or main point of your comment</w:t>
            </w:r>
            <w:r w:rsidRPr="0088101F">
              <w:rPr>
                <w:rFonts w:ascii="Arial" w:hAnsi="Arial" w:cs="Arial"/>
                <w:sz w:val="22"/>
                <w:szCs w:val="22"/>
              </w:rPr>
              <w:t xml:space="preserve">, which links to an evaluation factor (A-D-L-I or Le-T-C-I). </w:t>
            </w:r>
          </w:p>
          <w:p w:rsidR="0088101F" w:rsidRPr="0088101F" w:rsidRDefault="0088101F" w:rsidP="00A37EE3">
            <w:pPr>
              <w:pStyle w:val="Default"/>
              <w:numPr>
                <w:ilvl w:val="0"/>
                <w:numId w:val="22"/>
              </w:numPr>
              <w:spacing w:after="120"/>
              <w:rPr>
                <w:rFonts w:ascii="Arial" w:hAnsi="Arial" w:cs="Arial"/>
                <w:sz w:val="22"/>
                <w:szCs w:val="22"/>
              </w:rPr>
            </w:pPr>
            <w:r w:rsidRPr="0088101F">
              <w:rPr>
                <w:rFonts w:ascii="Arial" w:hAnsi="Arial" w:cs="Arial"/>
                <w:b/>
                <w:bCs/>
                <w:sz w:val="22"/>
                <w:szCs w:val="22"/>
              </w:rPr>
              <w:t>Give one or two supporting examples from the application</w:t>
            </w:r>
            <w:r w:rsidRPr="0088101F">
              <w:rPr>
                <w:rFonts w:ascii="Arial" w:hAnsi="Arial" w:cs="Arial"/>
                <w:sz w:val="22"/>
                <w:szCs w:val="22"/>
              </w:rPr>
              <w:t xml:space="preserve">. If your OFI refers to a gap (something missing from the application), tell what is missing (e.g. “The applicant lacks comparative data for many of its operational effectiveness measures”). </w:t>
            </w:r>
          </w:p>
          <w:p w:rsidR="0088101F" w:rsidRDefault="0088101F" w:rsidP="00A37EE3">
            <w:pPr>
              <w:pStyle w:val="Default"/>
              <w:numPr>
                <w:ilvl w:val="0"/>
                <w:numId w:val="22"/>
              </w:numPr>
              <w:spacing w:after="120"/>
              <w:rPr>
                <w:sz w:val="22"/>
                <w:szCs w:val="22"/>
              </w:rPr>
            </w:pPr>
            <w:r w:rsidRPr="0088101F">
              <w:rPr>
                <w:rFonts w:ascii="Arial" w:hAnsi="Arial" w:cs="Arial"/>
                <w:b/>
                <w:bCs/>
                <w:sz w:val="22"/>
                <w:szCs w:val="22"/>
              </w:rPr>
              <w:t xml:space="preserve">Finish with a “so what” statement </w:t>
            </w:r>
            <w:r w:rsidRPr="0088101F">
              <w:rPr>
                <w:rFonts w:ascii="Arial" w:hAnsi="Arial" w:cs="Arial"/>
                <w:sz w:val="22"/>
                <w:szCs w:val="22"/>
              </w:rPr>
              <w:t xml:space="preserve">to indicate why this comment is important or relevant to the applicant. The “so what” is </w:t>
            </w:r>
            <w:r w:rsidRPr="0088101F">
              <w:rPr>
                <w:rFonts w:ascii="Arial" w:hAnsi="Arial" w:cs="Arial"/>
                <w:sz w:val="22"/>
                <w:szCs w:val="22"/>
              </w:rPr>
              <w:t>usually based on a key factor</w:t>
            </w:r>
            <w:r>
              <w:rPr>
                <w:sz w:val="22"/>
                <w:szCs w:val="22"/>
              </w:rPr>
              <w:t xml:space="preserve">. </w:t>
            </w:r>
          </w:p>
          <w:p w:rsidR="00A37EE3" w:rsidRDefault="00A37EE3" w:rsidP="00A37EE3">
            <w:pPr>
              <w:pStyle w:val="Default"/>
              <w:numPr>
                <w:ilvl w:val="0"/>
                <w:numId w:val="22"/>
              </w:numPr>
              <w:spacing w:after="120"/>
              <w:rPr>
                <w:rFonts w:ascii="Arial" w:hAnsi="Arial" w:cs="Arial"/>
                <w:sz w:val="22"/>
                <w:szCs w:val="22"/>
              </w:rPr>
            </w:pPr>
            <w:r w:rsidRPr="00A37EE3">
              <w:rPr>
                <w:rFonts w:ascii="Arial" w:hAnsi="Arial" w:cs="Arial"/>
                <w:sz w:val="22"/>
                <w:szCs w:val="22"/>
              </w:rPr>
              <w:t xml:space="preserve">Type your comment in the box labeled “Feedback Ready Comment” on the Strength or Opportunity for Improvement panel. </w:t>
            </w:r>
          </w:p>
          <w:p w:rsidR="00A37EE3" w:rsidRPr="00A37EE3" w:rsidRDefault="00A37EE3" w:rsidP="00E25DA3">
            <w:pPr>
              <w:pStyle w:val="Default"/>
              <w:numPr>
                <w:ilvl w:val="0"/>
                <w:numId w:val="22"/>
              </w:numPr>
              <w:rPr>
                <w:rFonts w:ascii="Arial" w:hAnsi="Arial" w:cs="Arial"/>
                <w:sz w:val="22"/>
                <w:szCs w:val="22"/>
              </w:rPr>
            </w:pPr>
            <w:r w:rsidRPr="00A37EE3">
              <w:rPr>
                <w:rFonts w:ascii="Arial" w:hAnsi="Arial" w:cs="Arial"/>
                <w:sz w:val="22"/>
                <w:szCs w:val="22"/>
              </w:rPr>
              <w:t xml:space="preserve">Indicate an item reference and whether the comment is a double-strength or double-OFI in the boxes to the right. </w:t>
            </w:r>
          </w:p>
          <w:p w:rsidR="00A37EE3" w:rsidRPr="0088101F" w:rsidRDefault="00A37EE3" w:rsidP="00A37EE3">
            <w:pPr>
              <w:pStyle w:val="Default"/>
              <w:rPr>
                <w:sz w:val="22"/>
                <w:szCs w:val="22"/>
              </w:rPr>
            </w:pPr>
            <w:bookmarkStart w:id="0" w:name="_GoBack"/>
            <w:bookmarkEnd w:id="0"/>
          </w:p>
        </w:tc>
      </w:tr>
    </w:tbl>
    <w:p w:rsidR="00CC6530" w:rsidRPr="00CC6530" w:rsidRDefault="00CC6530" w:rsidP="00CC6530"/>
    <w:sectPr w:rsidR="00CC6530" w:rsidRPr="00CC6530" w:rsidSect="00431541">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D4B59"/>
    <w:multiLevelType w:val="hybridMultilevel"/>
    <w:tmpl w:val="D6EEE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775086"/>
    <w:multiLevelType w:val="hybridMultilevel"/>
    <w:tmpl w:val="BC5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9008E"/>
    <w:multiLevelType w:val="hybridMultilevel"/>
    <w:tmpl w:val="8088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3A330B"/>
    <w:multiLevelType w:val="hybridMultilevel"/>
    <w:tmpl w:val="C7BC2B4A"/>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4" w15:restartNumberingAfterBreak="0">
    <w:nsid w:val="3A8247D9"/>
    <w:multiLevelType w:val="hybridMultilevel"/>
    <w:tmpl w:val="1FCC1AD0"/>
    <w:lvl w:ilvl="0" w:tplc="D6147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FF156A"/>
    <w:multiLevelType w:val="hybridMultilevel"/>
    <w:tmpl w:val="36886C20"/>
    <w:lvl w:ilvl="0" w:tplc="D6147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83380E"/>
    <w:multiLevelType w:val="hybridMultilevel"/>
    <w:tmpl w:val="B322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E153B"/>
    <w:multiLevelType w:val="hybridMultilevel"/>
    <w:tmpl w:val="D366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4E44A7"/>
    <w:multiLevelType w:val="hybridMultilevel"/>
    <w:tmpl w:val="1B7E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C4C47"/>
    <w:multiLevelType w:val="hybridMultilevel"/>
    <w:tmpl w:val="F3F4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385263"/>
    <w:multiLevelType w:val="hybridMultilevel"/>
    <w:tmpl w:val="B120A58C"/>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1" w15:restartNumberingAfterBreak="0">
    <w:nsid w:val="564849E5"/>
    <w:multiLevelType w:val="hybridMultilevel"/>
    <w:tmpl w:val="572CB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CE440C"/>
    <w:multiLevelType w:val="hybridMultilevel"/>
    <w:tmpl w:val="8E46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AC052B"/>
    <w:multiLevelType w:val="hybridMultilevel"/>
    <w:tmpl w:val="E210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96C8F"/>
    <w:multiLevelType w:val="hybridMultilevel"/>
    <w:tmpl w:val="1614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1F29A1"/>
    <w:multiLevelType w:val="hybridMultilevel"/>
    <w:tmpl w:val="A4AAAA86"/>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6" w15:restartNumberingAfterBreak="0">
    <w:nsid w:val="62121130"/>
    <w:multiLevelType w:val="hybridMultilevel"/>
    <w:tmpl w:val="1C82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602E74"/>
    <w:multiLevelType w:val="hybridMultilevel"/>
    <w:tmpl w:val="875A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205108"/>
    <w:multiLevelType w:val="hybridMultilevel"/>
    <w:tmpl w:val="B5AE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6268A"/>
    <w:multiLevelType w:val="hybridMultilevel"/>
    <w:tmpl w:val="677E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B00028"/>
    <w:multiLevelType w:val="hybridMultilevel"/>
    <w:tmpl w:val="572CB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F94E94"/>
    <w:multiLevelType w:val="hybridMultilevel"/>
    <w:tmpl w:val="87FA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9"/>
  </w:num>
  <w:num w:numId="4">
    <w:abstractNumId w:val="18"/>
  </w:num>
  <w:num w:numId="5">
    <w:abstractNumId w:val="14"/>
  </w:num>
  <w:num w:numId="6">
    <w:abstractNumId w:val="19"/>
  </w:num>
  <w:num w:numId="7">
    <w:abstractNumId w:val="17"/>
  </w:num>
  <w:num w:numId="8">
    <w:abstractNumId w:val="2"/>
  </w:num>
  <w:num w:numId="9">
    <w:abstractNumId w:val="10"/>
  </w:num>
  <w:num w:numId="10">
    <w:abstractNumId w:val="15"/>
  </w:num>
  <w:num w:numId="11">
    <w:abstractNumId w:val="0"/>
  </w:num>
  <w:num w:numId="12">
    <w:abstractNumId w:val="5"/>
  </w:num>
  <w:num w:numId="13">
    <w:abstractNumId w:val="6"/>
  </w:num>
  <w:num w:numId="14">
    <w:abstractNumId w:val="1"/>
  </w:num>
  <w:num w:numId="15">
    <w:abstractNumId w:val="4"/>
  </w:num>
  <w:num w:numId="16">
    <w:abstractNumId w:val="16"/>
  </w:num>
  <w:num w:numId="17">
    <w:abstractNumId w:val="21"/>
  </w:num>
  <w:num w:numId="18">
    <w:abstractNumId w:val="13"/>
  </w:num>
  <w:num w:numId="19">
    <w:abstractNumId w:val="3"/>
  </w:num>
  <w:num w:numId="20">
    <w:abstractNumId w:val="12"/>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530"/>
    <w:rsid w:val="00021226"/>
    <w:rsid w:val="00096CD6"/>
    <w:rsid w:val="000D5C65"/>
    <w:rsid w:val="001478E1"/>
    <w:rsid w:val="002D4F84"/>
    <w:rsid w:val="00395804"/>
    <w:rsid w:val="00431541"/>
    <w:rsid w:val="004A7F57"/>
    <w:rsid w:val="00536F2B"/>
    <w:rsid w:val="006449B0"/>
    <w:rsid w:val="00653850"/>
    <w:rsid w:val="0080430E"/>
    <w:rsid w:val="0081633B"/>
    <w:rsid w:val="0088101F"/>
    <w:rsid w:val="008A63C0"/>
    <w:rsid w:val="00921DA3"/>
    <w:rsid w:val="00961F86"/>
    <w:rsid w:val="00A271DB"/>
    <w:rsid w:val="00A37EE3"/>
    <w:rsid w:val="00BB44E3"/>
    <w:rsid w:val="00CB6A96"/>
    <w:rsid w:val="00CC6530"/>
    <w:rsid w:val="00CF49F7"/>
    <w:rsid w:val="00D7503F"/>
    <w:rsid w:val="00EE3EF0"/>
    <w:rsid w:val="00EF12E4"/>
    <w:rsid w:val="00F4375E"/>
    <w:rsid w:val="00F63093"/>
    <w:rsid w:val="00FE1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381D8-20BA-408C-A093-41D6FD21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530"/>
    <w:pPr>
      <w:ind w:left="720"/>
      <w:contextualSpacing/>
    </w:pPr>
  </w:style>
  <w:style w:type="paragraph" w:customStyle="1" w:styleId="Default">
    <w:name w:val="Default"/>
    <w:rsid w:val="002D4F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Jordan</dc:creator>
  <cp:keywords/>
  <dc:description/>
  <cp:lastModifiedBy>Daniel Jordan</cp:lastModifiedBy>
  <cp:revision>2</cp:revision>
  <dcterms:created xsi:type="dcterms:W3CDTF">2015-07-16T17:47:00Z</dcterms:created>
  <dcterms:modified xsi:type="dcterms:W3CDTF">2015-07-16T17:47:00Z</dcterms:modified>
</cp:coreProperties>
</file>